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C9" w:rsidRPr="00E8448D" w:rsidRDefault="002576C9" w:rsidP="001B30EA">
      <w:pPr>
        <w:jc w:val="both"/>
        <w:rPr>
          <w:rFonts w:ascii="Book Antiqua" w:hAnsi="Book Antiqua"/>
          <w:sz w:val="24"/>
          <w:szCs w:val="24"/>
        </w:rPr>
      </w:pPr>
    </w:p>
    <w:p w:rsidR="001B30EA" w:rsidRPr="00E8448D" w:rsidRDefault="0070102F" w:rsidP="00E8448D">
      <w:pPr>
        <w:jc w:val="center"/>
        <w:rPr>
          <w:rFonts w:ascii="Book Antiqua" w:hAnsi="Book Antiqua"/>
          <w:b/>
          <w:sz w:val="24"/>
          <w:szCs w:val="24"/>
        </w:rPr>
      </w:pPr>
      <w:r w:rsidRPr="00E8448D">
        <w:rPr>
          <w:rFonts w:ascii="Book Antiqua" w:hAnsi="Book Antiqua"/>
          <w:b/>
          <w:sz w:val="24"/>
          <w:szCs w:val="24"/>
        </w:rPr>
        <w:t>Onlinevermittlung von Versicherungsverträgen</w:t>
      </w:r>
    </w:p>
    <w:p w:rsidR="0070102F" w:rsidRPr="00E8448D" w:rsidRDefault="0070102F" w:rsidP="001B30EA">
      <w:pPr>
        <w:jc w:val="both"/>
        <w:rPr>
          <w:rFonts w:ascii="Book Antiqua" w:hAnsi="Book Antiqua"/>
          <w:sz w:val="24"/>
          <w:szCs w:val="24"/>
        </w:rPr>
      </w:pPr>
      <w:r w:rsidRPr="00E8448D">
        <w:rPr>
          <w:rFonts w:ascii="Book Antiqua" w:hAnsi="Book Antiqua"/>
          <w:sz w:val="24"/>
          <w:szCs w:val="24"/>
        </w:rPr>
        <w:t>Ein Kurz-Leitfade</w:t>
      </w:r>
      <w:r w:rsidR="001B30EA" w:rsidRPr="00E8448D">
        <w:rPr>
          <w:rFonts w:ascii="Book Antiqua" w:hAnsi="Book Antiqua"/>
          <w:sz w:val="24"/>
          <w:szCs w:val="24"/>
        </w:rPr>
        <w:t>n von Rechtsanwalt  Stephan Michaelis LL.M.</w:t>
      </w:r>
    </w:p>
    <w:p w:rsidR="0070102F" w:rsidRPr="00E8448D" w:rsidRDefault="0070102F" w:rsidP="001B30EA">
      <w:pPr>
        <w:spacing w:line="276" w:lineRule="auto"/>
        <w:jc w:val="both"/>
        <w:rPr>
          <w:rFonts w:ascii="Book Antiqua" w:hAnsi="Book Antiqua"/>
          <w:sz w:val="24"/>
          <w:szCs w:val="24"/>
        </w:rPr>
      </w:pP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Liebe Leserinnen und Leser,</w:t>
      </w:r>
    </w:p>
    <w:p w:rsidR="0070102F" w:rsidRPr="00E8448D" w:rsidRDefault="0070102F" w:rsidP="001B30EA">
      <w:pPr>
        <w:spacing w:line="276" w:lineRule="auto"/>
        <w:jc w:val="both"/>
        <w:rPr>
          <w:rFonts w:ascii="Book Antiqua" w:hAnsi="Book Antiqua"/>
          <w:sz w:val="24"/>
          <w:szCs w:val="24"/>
        </w:rPr>
      </w:pP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ich freue mich darüber, dass Sie sich für unseren Leitfaden mit dem Thema „Online-Vermittlung“ </w:t>
      </w:r>
      <w:r w:rsidR="001B30EA" w:rsidRPr="00E8448D">
        <w:rPr>
          <w:rFonts w:ascii="Book Antiqua" w:hAnsi="Book Antiqua"/>
          <w:sz w:val="24"/>
          <w:szCs w:val="24"/>
        </w:rPr>
        <w:t xml:space="preserve">von Versicherungsverträgen </w:t>
      </w:r>
      <w:r w:rsidRPr="00E8448D">
        <w:rPr>
          <w:rFonts w:ascii="Book Antiqua" w:hAnsi="Book Antiqua"/>
          <w:sz w:val="24"/>
          <w:szCs w:val="24"/>
        </w:rPr>
        <w:t xml:space="preserve">interessieren. Hoffentlich kann dieser kleine Leitfaden für Sie die ein oder andere neue Erkenntnis bringen und Ihren Geschäftsbetrieb optimieren. </w:t>
      </w:r>
    </w:p>
    <w:p w:rsidR="0070102F" w:rsidRPr="00E8448D" w:rsidRDefault="0070102F" w:rsidP="001B30EA">
      <w:pPr>
        <w:spacing w:line="276" w:lineRule="auto"/>
        <w:jc w:val="both"/>
        <w:rPr>
          <w:rFonts w:ascii="Book Antiqua" w:hAnsi="Book Antiqua"/>
          <w:sz w:val="24"/>
          <w:szCs w:val="24"/>
        </w:rPr>
      </w:pP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Dieser Leitfaden dient als ein erster Überblick für die rechtlichen Anforderungen an eine Online-Vermittlung. Der Leitfaden geht dabei auf die Gestaltung der Website (I.), den Maklervertrag (II.), den Beratungsprozess (III.),</w:t>
      </w:r>
      <w:r w:rsidR="00D01C7F" w:rsidRPr="00E8448D">
        <w:rPr>
          <w:rFonts w:ascii="Book Antiqua" w:hAnsi="Book Antiqua"/>
          <w:sz w:val="24"/>
          <w:szCs w:val="24"/>
        </w:rPr>
        <w:t xml:space="preserve"> die</w:t>
      </w:r>
      <w:r w:rsidRPr="00E8448D">
        <w:rPr>
          <w:rFonts w:ascii="Book Antiqua" w:hAnsi="Book Antiqua"/>
          <w:sz w:val="24"/>
          <w:szCs w:val="24"/>
        </w:rPr>
        <w:t xml:space="preserve"> Ausfertigung der Dokumente (IV.) sowie die wettbewerbsrechtlichen Besonderheiten (V.) im Rahmen der Online-Vermittlung ein. Die Besonderheiten die der Onlinevertrieb mit sich bringt, werden daher jeweils an den entstehenden Stellen ausführlich</w:t>
      </w:r>
      <w:r w:rsidR="001B30EA" w:rsidRPr="00E8448D">
        <w:rPr>
          <w:rFonts w:ascii="Book Antiqua" w:hAnsi="Book Antiqua"/>
          <w:sz w:val="24"/>
          <w:szCs w:val="24"/>
        </w:rPr>
        <w:t>er</w:t>
      </w:r>
      <w:r w:rsidRPr="00E8448D">
        <w:rPr>
          <w:rFonts w:ascii="Book Antiqua" w:hAnsi="Book Antiqua"/>
          <w:sz w:val="24"/>
          <w:szCs w:val="24"/>
        </w:rPr>
        <w:t xml:space="preserve"> dargelegt.</w:t>
      </w:r>
    </w:p>
    <w:p w:rsidR="0070102F" w:rsidRPr="00E8448D" w:rsidRDefault="0070102F" w:rsidP="001B30EA">
      <w:pPr>
        <w:spacing w:line="276" w:lineRule="auto"/>
        <w:jc w:val="both"/>
        <w:rPr>
          <w:rFonts w:ascii="Book Antiqua" w:hAnsi="Book Antiqua"/>
          <w:sz w:val="24"/>
          <w:szCs w:val="24"/>
        </w:rPr>
      </w:pP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Da der Online-Vertrieb ähnlich wie das gesamte E-Commerce in seiner Gestalt immer individuell ist, kann eine rechtsverbindliche Aussage immer nur für den Einzelfall gegeben werden. Sofern Sie jedoch auf der rechtlich sicheren Seite stehen möchten, kann ich Ihnen gerne ein individuelles Angebot zur Prüfung Ihres Online-Vertriebsweges unterbreiten.</w:t>
      </w:r>
    </w:p>
    <w:p w:rsidR="0070102F" w:rsidRPr="00E8448D" w:rsidRDefault="0070102F" w:rsidP="001B30EA">
      <w:pPr>
        <w:spacing w:line="276" w:lineRule="auto"/>
        <w:jc w:val="both"/>
        <w:rPr>
          <w:rFonts w:ascii="Book Antiqua" w:hAnsi="Book Antiqua"/>
          <w:sz w:val="24"/>
          <w:szCs w:val="24"/>
        </w:rPr>
      </w:pP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Ich b</w:t>
      </w:r>
      <w:r w:rsidR="00A54B10" w:rsidRPr="00E8448D">
        <w:rPr>
          <w:rFonts w:ascii="Book Antiqua" w:hAnsi="Book Antiqua"/>
          <w:sz w:val="24"/>
          <w:szCs w:val="24"/>
        </w:rPr>
        <w:t xml:space="preserve">edanke mich für Ihr Interesse </w:t>
      </w:r>
      <w:r w:rsidR="00D01C7F" w:rsidRPr="00E8448D">
        <w:rPr>
          <w:rFonts w:ascii="Book Antiqua" w:hAnsi="Book Antiqua"/>
          <w:sz w:val="24"/>
          <w:szCs w:val="24"/>
        </w:rPr>
        <w:t>im Voraus</w:t>
      </w:r>
      <w:r w:rsidRPr="00E8448D">
        <w:rPr>
          <w:rFonts w:ascii="Book Antiqua" w:hAnsi="Book Antiqua"/>
          <w:sz w:val="24"/>
          <w:szCs w:val="24"/>
        </w:rPr>
        <w:t xml:space="preserve"> und wünsche Ihnen viel Spaß beim Lesen dieses kleinen Leitfadens.</w:t>
      </w:r>
    </w:p>
    <w:p w:rsidR="001B30EA" w:rsidRPr="00E8448D" w:rsidRDefault="001B30EA" w:rsidP="001B30EA">
      <w:pPr>
        <w:spacing w:line="276" w:lineRule="auto"/>
        <w:jc w:val="both"/>
        <w:rPr>
          <w:rFonts w:ascii="Book Antiqua" w:hAnsi="Book Antiqua"/>
          <w:sz w:val="24"/>
          <w:szCs w:val="24"/>
        </w:rPr>
      </w:pPr>
      <w:r w:rsidRPr="00E8448D">
        <w:rPr>
          <w:rFonts w:ascii="Book Antiqua" w:hAnsi="Book Antiqua"/>
          <w:sz w:val="24"/>
          <w:szCs w:val="24"/>
        </w:rPr>
        <w:t>Ihr,</w:t>
      </w:r>
    </w:p>
    <w:p w:rsidR="00E8448D" w:rsidRDefault="00E8448D" w:rsidP="001B30EA">
      <w:pPr>
        <w:spacing w:line="276" w:lineRule="auto"/>
        <w:jc w:val="both"/>
        <w:rPr>
          <w:rFonts w:ascii="Book Antiqua" w:hAnsi="Book Antiqua"/>
          <w:sz w:val="24"/>
          <w:szCs w:val="24"/>
        </w:rPr>
      </w:pP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Stephan Michaelis LL.M.</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Fachanwalt für Versicherungsrecht</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Fachanwalt für Handels- und Gesellschaftsrecht </w:t>
      </w:r>
    </w:p>
    <w:p w:rsidR="002576C9" w:rsidRPr="00E8448D" w:rsidRDefault="002576C9"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1"/>
        </w:numPr>
        <w:spacing w:line="276" w:lineRule="auto"/>
        <w:rPr>
          <w:rFonts w:ascii="Book Antiqua" w:hAnsi="Book Antiqua"/>
          <w:b/>
          <w:sz w:val="24"/>
          <w:szCs w:val="24"/>
        </w:rPr>
      </w:pPr>
      <w:r w:rsidRPr="00E8448D">
        <w:rPr>
          <w:rFonts w:ascii="Book Antiqua" w:hAnsi="Book Antiqua"/>
          <w:b/>
          <w:sz w:val="24"/>
          <w:szCs w:val="24"/>
        </w:rPr>
        <w:t>Gestaltung der Website</w:t>
      </w:r>
      <w:r w:rsidRPr="00E8448D">
        <w:rPr>
          <w:rFonts w:ascii="Book Antiqua" w:hAnsi="Book Antiqua"/>
          <w:b/>
          <w:sz w:val="24"/>
          <w:szCs w:val="24"/>
        </w:rPr>
        <w:br/>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Den Grundbaustein </w:t>
      </w:r>
      <w:r w:rsidR="00D01C7F" w:rsidRPr="00E8448D">
        <w:rPr>
          <w:rFonts w:ascii="Book Antiqua" w:hAnsi="Book Antiqua"/>
          <w:sz w:val="24"/>
          <w:szCs w:val="24"/>
        </w:rPr>
        <w:t>für</w:t>
      </w:r>
      <w:r w:rsidRPr="00E8448D">
        <w:rPr>
          <w:rFonts w:ascii="Book Antiqua" w:hAnsi="Book Antiqua"/>
          <w:sz w:val="24"/>
          <w:szCs w:val="24"/>
        </w:rPr>
        <w:t xml:space="preserve"> die Online-Vermittlung stellt immer Ihre eigene Internetpräsenz dar. Es ist daher unerlässlich, dass diese rechtssicher gestaltet ist. Neben den graphischen und visuellen Rahmenbedingungen sollten daher die rechtlichen Anforderungen eine übergeordnete Rolle spielen. Dabei sind auch gar nicht so viele rechtliche Besonderheiten zu beachten.</w:t>
      </w:r>
    </w:p>
    <w:p w:rsidR="0070102F" w:rsidRPr="00E8448D" w:rsidRDefault="0070102F" w:rsidP="001B30EA">
      <w:pPr>
        <w:spacing w:line="276" w:lineRule="auto"/>
        <w:jc w:val="both"/>
        <w:rPr>
          <w:rFonts w:ascii="Book Antiqua" w:hAnsi="Book Antiqua"/>
          <w:sz w:val="24"/>
          <w:szCs w:val="24"/>
        </w:rPr>
      </w:pPr>
    </w:p>
    <w:p w:rsidR="0070102F" w:rsidRPr="00E8448D" w:rsidRDefault="0010647A" w:rsidP="001B30EA">
      <w:pPr>
        <w:pStyle w:val="Listenabsatz"/>
        <w:numPr>
          <w:ilvl w:val="0"/>
          <w:numId w:val="2"/>
        </w:numPr>
        <w:spacing w:line="276" w:lineRule="auto"/>
        <w:jc w:val="both"/>
        <w:rPr>
          <w:rFonts w:ascii="Book Antiqua" w:hAnsi="Book Antiqua"/>
          <w:b/>
          <w:sz w:val="24"/>
          <w:szCs w:val="24"/>
        </w:rPr>
      </w:pPr>
      <w:r w:rsidRPr="00E8448D">
        <w:rPr>
          <w:rFonts w:ascii="Book Antiqua" w:hAnsi="Book Antiqua"/>
          <w:b/>
          <w:sz w:val="24"/>
          <w:szCs w:val="24"/>
        </w:rPr>
        <w:t>Erstinformation, § 11 VersVermV</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Die erforderliche Erstinformation sollte unbedingt schon auf Ihrer </w:t>
      </w:r>
      <w:r w:rsidRPr="00E8448D">
        <w:rPr>
          <w:rFonts w:ascii="Book Antiqua" w:hAnsi="Book Antiqua"/>
          <w:b/>
          <w:sz w:val="24"/>
          <w:szCs w:val="24"/>
          <w:u w:val="single"/>
        </w:rPr>
        <w:t>Startseite</w:t>
      </w:r>
      <w:r w:rsidRPr="00E8448D">
        <w:rPr>
          <w:rFonts w:ascii="Book Antiqua" w:hAnsi="Book Antiqua"/>
          <w:sz w:val="24"/>
          <w:szCs w:val="24"/>
          <w:u w:val="single"/>
        </w:rPr>
        <w:t xml:space="preserve"> </w:t>
      </w:r>
      <w:r w:rsidRPr="00E8448D">
        <w:rPr>
          <w:rFonts w:ascii="Book Antiqua" w:hAnsi="Book Antiqua"/>
          <w:sz w:val="24"/>
          <w:szCs w:val="24"/>
        </w:rPr>
        <w:t xml:space="preserve">aufgeführt werden. § 11 VersVermV fordert die Angaben </w:t>
      </w:r>
      <w:r w:rsidRPr="00E8448D">
        <w:rPr>
          <w:rFonts w:ascii="Book Antiqua" w:hAnsi="Book Antiqua"/>
          <w:i/>
          <w:sz w:val="24"/>
          <w:szCs w:val="24"/>
        </w:rPr>
        <w:t>beim ersten Geschäftskontakt</w:t>
      </w:r>
      <w:r w:rsidRPr="00E8448D">
        <w:rPr>
          <w:rFonts w:ascii="Book Antiqua" w:hAnsi="Book Antiqua"/>
          <w:sz w:val="24"/>
          <w:szCs w:val="24"/>
        </w:rPr>
        <w:t>. Dabei müssen jedoch lediglich die „üblichen“ Angaben gemacht werden. Es empfiehlt sich daher die gesetzlich erforderlichen Informationen unter einem Link in das Impressum zu hinterlegen und die ausführliche Erstinformation im Impressum abzuspeichern, sofern es sich gestalterisch nicht lösen lässt, diese komplett auf der Startseite zu verorten. Ein ausdrücklicher und visuell hervorgehobener Link auf die Erstinformation muss die Startseite dennoch enthalten um den gesetzlichen Anforderungen zu genügen.</w:t>
      </w:r>
      <w:r w:rsidR="00CD4342" w:rsidRPr="00E8448D">
        <w:rPr>
          <w:rFonts w:ascii="Book Antiqua" w:hAnsi="Book Antiqua"/>
          <w:sz w:val="24"/>
          <w:szCs w:val="24"/>
        </w:rPr>
        <w:t xml:space="preserve"> Das LG München war bei seiner „Check-24“-Entscheidung dabei sehr streng. Das Gericht hat es nicht ausreichen lassen die Erstinformationen über einen mehr oder weniger versteckten Link aufzurufen.</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Darüber hinaus fordert § 11 VersVermV auch noch, dass die</w:t>
      </w:r>
      <w:r w:rsidRPr="00E8448D">
        <w:rPr>
          <w:rFonts w:ascii="Book Antiqua" w:hAnsi="Book Antiqua"/>
          <w:sz w:val="24"/>
          <w:szCs w:val="24"/>
          <w:u w:val="single"/>
        </w:rPr>
        <w:t xml:space="preserve"> Statusinformation</w:t>
      </w:r>
      <w:r w:rsidRPr="00E8448D">
        <w:rPr>
          <w:rFonts w:ascii="Book Antiqua" w:hAnsi="Book Antiqua"/>
          <w:sz w:val="24"/>
          <w:szCs w:val="24"/>
        </w:rPr>
        <w:t xml:space="preserve"> in </w:t>
      </w:r>
      <w:r w:rsidRPr="00E8448D">
        <w:rPr>
          <w:rFonts w:ascii="Book Antiqua" w:hAnsi="Book Antiqua"/>
          <w:b/>
          <w:sz w:val="24"/>
          <w:szCs w:val="24"/>
        </w:rPr>
        <w:t>Textform</w:t>
      </w:r>
      <w:r w:rsidRPr="00E8448D">
        <w:rPr>
          <w:rFonts w:ascii="Book Antiqua" w:hAnsi="Book Antiqua"/>
          <w:sz w:val="24"/>
          <w:szCs w:val="24"/>
        </w:rPr>
        <w:t xml:space="preserve"> übergeben wird. Es sollte also neben der Darstellung der Statusinformation auf der Website des Maklers die Statusinformation</w:t>
      </w:r>
      <w:r w:rsidR="001B30EA" w:rsidRPr="00E8448D">
        <w:rPr>
          <w:rFonts w:ascii="Book Antiqua" w:hAnsi="Book Antiqua"/>
          <w:sz w:val="24"/>
          <w:szCs w:val="24"/>
        </w:rPr>
        <w:t xml:space="preserve"> immer</w:t>
      </w:r>
      <w:r w:rsidRPr="00E8448D">
        <w:rPr>
          <w:rFonts w:ascii="Book Antiqua" w:hAnsi="Book Antiqua"/>
          <w:sz w:val="24"/>
          <w:szCs w:val="24"/>
        </w:rPr>
        <w:t xml:space="preserve"> per Mail übersandt werden.</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Es empfiehlt sich grundsätzlich immer, die in § 11 VersVermV aufgerufenen Informationspflichten jeweils unter jeder Mail zu platzieren. So kann man</w:t>
      </w:r>
      <w:r w:rsidR="001B30EA" w:rsidRPr="00E8448D">
        <w:rPr>
          <w:rFonts w:ascii="Book Antiqua" w:hAnsi="Book Antiqua"/>
          <w:sz w:val="24"/>
          <w:szCs w:val="24"/>
        </w:rPr>
        <w:t xml:space="preserve"> möglichen</w:t>
      </w:r>
      <w:r w:rsidRPr="00E8448D">
        <w:rPr>
          <w:rFonts w:ascii="Book Antiqua" w:hAnsi="Book Antiqua"/>
          <w:sz w:val="24"/>
          <w:szCs w:val="24"/>
        </w:rPr>
        <w:t xml:space="preserve"> unangenehmen Ärger bereits im Vorfeld umgehen.</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Ob nur ein Link in der Mail-Signatur ausreichend ist, wird in der Fachliteratur unterschiedlich bewertet. Vermutlich wird ein funktionsfähiger Link ausreichend sein. Dies i</w:t>
      </w:r>
      <w:r w:rsidR="001B30EA" w:rsidRPr="00E8448D">
        <w:rPr>
          <w:rFonts w:ascii="Book Antiqua" w:hAnsi="Book Antiqua"/>
          <w:sz w:val="24"/>
          <w:szCs w:val="24"/>
        </w:rPr>
        <w:t>st aber leider noch „strittig“, nach meiner persönlichen Meinung aber auch ausreichend.</w:t>
      </w:r>
    </w:p>
    <w:p w:rsidR="00CD4342" w:rsidRPr="00E8448D" w:rsidRDefault="00CD4342" w:rsidP="001B30EA">
      <w:pPr>
        <w:spacing w:line="276" w:lineRule="auto"/>
        <w:jc w:val="both"/>
        <w:rPr>
          <w:rFonts w:ascii="Book Antiqua" w:hAnsi="Book Antiqua"/>
          <w:sz w:val="24"/>
          <w:szCs w:val="24"/>
        </w:rPr>
      </w:pPr>
      <w:r w:rsidRPr="00E8448D">
        <w:rPr>
          <w:rFonts w:ascii="Book Antiqua" w:hAnsi="Book Antiqua"/>
          <w:sz w:val="24"/>
          <w:szCs w:val="24"/>
        </w:rPr>
        <w:t>Sofern Sie Ihrer Verpflichtung aus § 11 VersVermV nicht nachkommen, kann dies zur Folge haben, dass Sie durch Mitbewerber abgemahnt werden könnten. Dies ist immer mit nicht unerheblichen</w:t>
      </w:r>
      <w:r w:rsidR="0019499A" w:rsidRPr="00E8448D">
        <w:rPr>
          <w:rFonts w:ascii="Book Antiqua" w:hAnsi="Book Antiqua"/>
          <w:sz w:val="24"/>
          <w:szCs w:val="24"/>
        </w:rPr>
        <w:t xml:space="preserve"> und unnötigen</w:t>
      </w:r>
      <w:r w:rsidRPr="00E8448D">
        <w:rPr>
          <w:rFonts w:ascii="Book Antiqua" w:hAnsi="Book Antiqua"/>
          <w:sz w:val="24"/>
          <w:szCs w:val="24"/>
        </w:rPr>
        <w:t xml:space="preserve"> Kosten verbunden.</w:t>
      </w:r>
    </w:p>
    <w:p w:rsidR="0019499A" w:rsidRPr="00E8448D" w:rsidRDefault="0019499A" w:rsidP="001B30EA">
      <w:pPr>
        <w:spacing w:line="276" w:lineRule="auto"/>
        <w:jc w:val="both"/>
        <w:rPr>
          <w:rFonts w:ascii="Book Antiqua" w:hAnsi="Book Antiqua"/>
          <w:sz w:val="24"/>
          <w:szCs w:val="24"/>
        </w:rPr>
      </w:pPr>
    </w:p>
    <w:p w:rsidR="0070102F" w:rsidRPr="00E8448D" w:rsidRDefault="0070102F" w:rsidP="0019499A">
      <w:pPr>
        <w:pStyle w:val="Listenabsatz"/>
        <w:numPr>
          <w:ilvl w:val="0"/>
          <w:numId w:val="2"/>
        </w:numPr>
        <w:spacing w:line="276" w:lineRule="auto"/>
        <w:jc w:val="both"/>
        <w:rPr>
          <w:rFonts w:ascii="Book Antiqua" w:hAnsi="Book Antiqua"/>
          <w:b/>
          <w:sz w:val="24"/>
          <w:szCs w:val="24"/>
        </w:rPr>
      </w:pPr>
      <w:r w:rsidRPr="00E8448D">
        <w:rPr>
          <w:rFonts w:ascii="Book Antiqua" w:hAnsi="Book Antiqua"/>
          <w:b/>
          <w:sz w:val="24"/>
          <w:szCs w:val="24"/>
        </w:rPr>
        <w:t>Gestaltung des Impressums</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Ein Impressum ist gem. § 5 TMG für geschäftliche Websites vorgeschrieben. Auf Grund der nicht unerheblichen Bedeutung des Impressums empfiehlt sich daher einen sog. Impressums-Generator</w:t>
      </w:r>
      <w:r w:rsidR="0019499A" w:rsidRPr="00E8448D">
        <w:rPr>
          <w:rFonts w:ascii="Book Antiqua" w:hAnsi="Book Antiqua"/>
          <w:sz w:val="24"/>
          <w:szCs w:val="24"/>
        </w:rPr>
        <w:t xml:space="preserve"> (z.B. aus unserem Hause)</w:t>
      </w:r>
      <w:r w:rsidRPr="00E8448D">
        <w:rPr>
          <w:rFonts w:ascii="Book Antiqua" w:hAnsi="Book Antiqua"/>
          <w:sz w:val="24"/>
          <w:szCs w:val="24"/>
        </w:rPr>
        <w:t xml:space="preserve"> zu nutzen. Hierfür sind </w:t>
      </w:r>
      <w:r w:rsidR="0019499A" w:rsidRPr="00E8448D">
        <w:rPr>
          <w:rFonts w:ascii="Book Antiqua" w:hAnsi="Book Antiqua"/>
          <w:sz w:val="24"/>
          <w:szCs w:val="24"/>
        </w:rPr>
        <w:t xml:space="preserve">aber auch </w:t>
      </w:r>
      <w:r w:rsidRPr="00E8448D">
        <w:rPr>
          <w:rFonts w:ascii="Book Antiqua" w:hAnsi="Book Antiqua"/>
          <w:sz w:val="24"/>
          <w:szCs w:val="24"/>
        </w:rPr>
        <w:t xml:space="preserve">mehrere Anbieter auf dem Markt. Auch ein Vergleich mit anderen Makler-Homepages ist dabei empfehlenswert. Unbedingt enthalten muss das Impressum Namen und Anschrift sowie Rechtsform des Maklers, die Mail-Adresse unter denen mit Ihnen Kontakt aufgenommen werden kann und den Verweis auf die behördliche Zulassung bzw. Verweis auf die Erstinformation. </w:t>
      </w:r>
    </w:p>
    <w:p w:rsidR="0070102F" w:rsidRPr="00E8448D" w:rsidRDefault="0070102F" w:rsidP="001B30EA">
      <w:pPr>
        <w:spacing w:line="276" w:lineRule="auto"/>
        <w:jc w:val="both"/>
        <w:rPr>
          <w:rFonts w:ascii="Book Antiqua" w:hAnsi="Book Antiqua"/>
          <w:sz w:val="24"/>
          <w:szCs w:val="24"/>
        </w:rPr>
      </w:pPr>
    </w:p>
    <w:p w:rsidR="0070102F" w:rsidRPr="00E8448D" w:rsidRDefault="0070102F" w:rsidP="001B30EA">
      <w:pPr>
        <w:spacing w:line="276" w:lineRule="auto"/>
        <w:jc w:val="both"/>
        <w:rPr>
          <w:rFonts w:ascii="Book Antiqua" w:hAnsi="Book Antiqua"/>
          <w:b/>
          <w:sz w:val="24"/>
          <w:szCs w:val="24"/>
          <w:u w:val="single"/>
        </w:rPr>
      </w:pPr>
      <w:r w:rsidRPr="00E8448D">
        <w:rPr>
          <w:rFonts w:ascii="Book Antiqua" w:hAnsi="Book Antiqua"/>
          <w:b/>
          <w:sz w:val="24"/>
          <w:szCs w:val="24"/>
          <w:u w:val="single"/>
        </w:rPr>
        <w:t>So könnte ein Muster</w:t>
      </w:r>
      <w:r w:rsidR="0019499A" w:rsidRPr="00E8448D">
        <w:rPr>
          <w:rFonts w:ascii="Book Antiqua" w:hAnsi="Book Antiqua"/>
          <w:b/>
          <w:sz w:val="24"/>
          <w:szCs w:val="24"/>
          <w:u w:val="single"/>
        </w:rPr>
        <w:t xml:space="preserve"> für einen Versicherungsmakler</w:t>
      </w:r>
      <w:r w:rsidRPr="00E8448D">
        <w:rPr>
          <w:rFonts w:ascii="Book Antiqua" w:hAnsi="Book Antiqua"/>
          <w:b/>
          <w:sz w:val="24"/>
          <w:szCs w:val="24"/>
          <w:u w:val="single"/>
        </w:rPr>
        <w:t xml:space="preserve"> aussehen: </w:t>
      </w:r>
    </w:p>
    <w:p w:rsidR="00551653" w:rsidRPr="00E8448D" w:rsidRDefault="00551653" w:rsidP="001B30EA">
      <w:pPr>
        <w:spacing w:after="0" w:line="276" w:lineRule="auto"/>
        <w:jc w:val="both"/>
        <w:outlineLvl w:val="2"/>
        <w:rPr>
          <w:rFonts w:ascii="Book Antiqua" w:eastAsia="Times New Roman" w:hAnsi="Book Antiqua" w:cs="Arial"/>
          <w:b/>
          <w:bCs/>
          <w:sz w:val="24"/>
          <w:szCs w:val="24"/>
          <w:lang w:eastAsia="de-DE"/>
        </w:rPr>
      </w:pPr>
      <w:r w:rsidRPr="00E8448D">
        <w:rPr>
          <w:rFonts w:ascii="Book Antiqua" w:eastAsia="Times New Roman" w:hAnsi="Book Antiqua" w:cs="Arial"/>
          <w:b/>
          <w:bCs/>
          <w:sz w:val="24"/>
          <w:szCs w:val="24"/>
          <w:lang w:eastAsia="de-DE"/>
        </w:rPr>
        <w:t>Anbieterkennzeichnung nach § 5 TMG</w:t>
      </w:r>
    </w:p>
    <w:p w:rsidR="00551653" w:rsidRPr="00E8448D" w:rsidRDefault="00551653" w:rsidP="001B30EA">
      <w:pPr>
        <w:spacing w:after="225" w:line="276" w:lineRule="auto"/>
        <w:jc w:val="both"/>
        <w:rPr>
          <w:rFonts w:ascii="Book Antiqua" w:eastAsia="Times New Roman" w:hAnsi="Book Antiqua" w:cs="Arial"/>
          <w:sz w:val="24"/>
          <w:szCs w:val="24"/>
          <w:lang w:eastAsia="de-DE"/>
        </w:rPr>
      </w:pPr>
      <w:r w:rsidRPr="00E8448D">
        <w:rPr>
          <w:rFonts w:ascii="Book Antiqua" w:eastAsia="Times New Roman" w:hAnsi="Book Antiqua" w:cs="Arial"/>
          <w:sz w:val="24"/>
          <w:szCs w:val="24"/>
          <w:lang w:eastAsia="de-DE"/>
        </w:rPr>
        <w:t>Firma</w:t>
      </w:r>
      <w:r w:rsidRPr="00E8448D">
        <w:rPr>
          <w:rFonts w:ascii="Book Antiqua" w:eastAsia="Times New Roman" w:hAnsi="Book Antiqua" w:cs="Arial"/>
          <w:sz w:val="24"/>
          <w:szCs w:val="24"/>
          <w:lang w:eastAsia="de-DE"/>
        </w:rPr>
        <w:br/>
        <w:t>Straße</w:t>
      </w:r>
      <w:r w:rsidRPr="00E8448D">
        <w:rPr>
          <w:rFonts w:ascii="Book Antiqua" w:eastAsia="Times New Roman" w:hAnsi="Book Antiqua" w:cs="Arial"/>
          <w:sz w:val="24"/>
          <w:szCs w:val="24"/>
          <w:lang w:eastAsia="de-DE"/>
        </w:rPr>
        <w:br/>
        <w:t>PLZ</w:t>
      </w:r>
      <w:r w:rsidR="0019499A" w:rsidRPr="00E8448D">
        <w:rPr>
          <w:rFonts w:ascii="Book Antiqua" w:eastAsia="Times New Roman" w:hAnsi="Book Antiqua" w:cs="Arial"/>
          <w:sz w:val="24"/>
          <w:szCs w:val="24"/>
          <w:lang w:eastAsia="de-DE"/>
        </w:rPr>
        <w:t>/</w:t>
      </w:r>
      <w:r w:rsidRPr="00E8448D">
        <w:rPr>
          <w:rFonts w:ascii="Book Antiqua" w:eastAsia="Times New Roman" w:hAnsi="Book Antiqua" w:cs="Arial"/>
          <w:sz w:val="24"/>
          <w:szCs w:val="24"/>
          <w:lang w:eastAsia="de-DE"/>
        </w:rPr>
        <w:t>Stadt</w:t>
      </w:r>
      <w:r w:rsidRPr="00E8448D">
        <w:rPr>
          <w:rFonts w:ascii="Book Antiqua" w:eastAsia="Times New Roman" w:hAnsi="Book Antiqua" w:cs="Arial"/>
          <w:sz w:val="24"/>
          <w:szCs w:val="24"/>
          <w:lang w:eastAsia="de-DE"/>
        </w:rPr>
        <w:br/>
        <w:t>Deutschland</w:t>
      </w:r>
    </w:p>
    <w:p w:rsidR="00551653" w:rsidRPr="00E8448D" w:rsidRDefault="00551653" w:rsidP="0019499A">
      <w:pPr>
        <w:spacing w:after="225" w:line="276" w:lineRule="auto"/>
        <w:rPr>
          <w:rFonts w:ascii="Book Antiqua" w:eastAsia="Times New Roman" w:hAnsi="Book Antiqua" w:cs="Arial"/>
          <w:sz w:val="24"/>
          <w:szCs w:val="24"/>
          <w:lang w:eastAsia="de-DE"/>
        </w:rPr>
      </w:pPr>
      <w:r w:rsidRPr="00E8448D">
        <w:rPr>
          <w:rFonts w:ascii="Book Antiqua" w:eastAsia="Times New Roman" w:hAnsi="Book Antiqua" w:cs="Arial"/>
          <w:sz w:val="24"/>
          <w:szCs w:val="24"/>
          <w:lang w:eastAsia="de-DE"/>
        </w:rPr>
        <w:t>Tel: +49 40 123 456 789</w:t>
      </w:r>
      <w:r w:rsidRPr="00E8448D">
        <w:rPr>
          <w:rFonts w:ascii="Book Antiqua" w:eastAsia="Times New Roman" w:hAnsi="Book Antiqua" w:cs="Arial"/>
          <w:sz w:val="24"/>
          <w:szCs w:val="24"/>
          <w:lang w:eastAsia="de-DE"/>
        </w:rPr>
        <w:br/>
        <w:t>Fax: +49 (0)40 234 567 891</w:t>
      </w:r>
      <w:r w:rsidRPr="00E8448D">
        <w:rPr>
          <w:rFonts w:ascii="Book Antiqua" w:eastAsia="Times New Roman" w:hAnsi="Book Antiqua" w:cs="Arial"/>
          <w:sz w:val="24"/>
          <w:szCs w:val="24"/>
          <w:lang w:eastAsia="de-DE"/>
        </w:rPr>
        <w:br/>
        <w:t>E-Mail: kontakt(a)firma.de</w:t>
      </w:r>
    </w:p>
    <w:p w:rsidR="00551653" w:rsidRPr="00E8448D" w:rsidRDefault="00551653" w:rsidP="001B30EA">
      <w:pPr>
        <w:spacing w:after="225" w:line="276" w:lineRule="auto"/>
        <w:jc w:val="both"/>
        <w:rPr>
          <w:rFonts w:ascii="Book Antiqua" w:eastAsia="Times New Roman" w:hAnsi="Book Antiqua" w:cs="Arial"/>
          <w:sz w:val="24"/>
          <w:szCs w:val="24"/>
          <w:lang w:eastAsia="de-DE"/>
        </w:rPr>
      </w:pPr>
      <w:r w:rsidRPr="00E8448D">
        <w:rPr>
          <w:rFonts w:ascii="Book Antiqua" w:eastAsia="Times New Roman" w:hAnsi="Book Antiqua" w:cs="Arial"/>
          <w:sz w:val="24"/>
          <w:szCs w:val="24"/>
          <w:lang w:eastAsia="de-DE"/>
        </w:rPr>
        <w:t xml:space="preserve">Weitere Kontaktmöglichkeiten für Kunden, Interessenten, Bewerber und Geschäftspartner finden Sie </w:t>
      </w:r>
      <w:hyperlink r:id="rId9" w:history="1">
        <w:r w:rsidRPr="00E8448D">
          <w:rPr>
            <w:rFonts w:ascii="Book Antiqua" w:eastAsia="Times New Roman" w:hAnsi="Book Antiqua" w:cs="Arial"/>
            <w:sz w:val="24"/>
            <w:szCs w:val="24"/>
            <w:lang w:eastAsia="de-DE"/>
          </w:rPr>
          <w:t>hier.</w:t>
        </w:r>
      </w:hyperlink>
      <w:r w:rsidRPr="00E8448D">
        <w:rPr>
          <w:rFonts w:ascii="Book Antiqua" w:eastAsia="Times New Roman" w:hAnsi="Book Antiqua" w:cs="Arial"/>
          <w:sz w:val="24"/>
          <w:szCs w:val="24"/>
          <w:lang w:eastAsia="de-DE"/>
        </w:rPr>
        <w:t> </w:t>
      </w:r>
    </w:p>
    <w:p w:rsidR="00551653" w:rsidRPr="00E8448D" w:rsidRDefault="00551653" w:rsidP="001B30EA">
      <w:pPr>
        <w:spacing w:after="225" w:line="276" w:lineRule="auto"/>
        <w:jc w:val="both"/>
        <w:rPr>
          <w:rFonts w:ascii="Book Antiqua" w:eastAsia="Times New Roman" w:hAnsi="Book Antiqua" w:cs="Arial"/>
          <w:sz w:val="24"/>
          <w:szCs w:val="24"/>
          <w:lang w:eastAsia="de-DE"/>
        </w:rPr>
      </w:pPr>
      <w:r w:rsidRPr="00E8448D">
        <w:rPr>
          <w:rFonts w:ascii="Book Antiqua" w:eastAsia="Times New Roman" w:hAnsi="Book Antiqua" w:cs="Arial"/>
          <w:sz w:val="24"/>
          <w:szCs w:val="24"/>
          <w:lang w:eastAsia="de-DE"/>
        </w:rPr>
        <w:t>Vorsitzender der Geschäftsführung: Max Mustermann</w:t>
      </w:r>
    </w:p>
    <w:p w:rsidR="00551653" w:rsidRPr="00E8448D" w:rsidRDefault="00551653" w:rsidP="001B30EA">
      <w:pPr>
        <w:spacing w:after="225" w:line="276" w:lineRule="auto"/>
        <w:jc w:val="both"/>
        <w:rPr>
          <w:rFonts w:ascii="Book Antiqua" w:eastAsia="Times New Roman" w:hAnsi="Book Antiqua" w:cs="Arial"/>
          <w:sz w:val="24"/>
          <w:szCs w:val="24"/>
          <w:lang w:eastAsia="de-DE"/>
        </w:rPr>
      </w:pPr>
      <w:proofErr w:type="spellStart"/>
      <w:r w:rsidRPr="00E8448D">
        <w:rPr>
          <w:rFonts w:ascii="Book Antiqua" w:eastAsia="Times New Roman" w:hAnsi="Book Antiqua" w:cs="Arial"/>
          <w:sz w:val="24"/>
          <w:szCs w:val="24"/>
          <w:lang w:eastAsia="de-DE"/>
        </w:rPr>
        <w:t>Handelregister-Nr</w:t>
      </w:r>
      <w:proofErr w:type="spellEnd"/>
      <w:r w:rsidRPr="00E8448D">
        <w:rPr>
          <w:rFonts w:ascii="Book Antiqua" w:eastAsia="Times New Roman" w:hAnsi="Book Antiqua" w:cs="Arial"/>
          <w:sz w:val="24"/>
          <w:szCs w:val="24"/>
          <w:lang w:eastAsia="de-DE"/>
        </w:rPr>
        <w:t>.:XXX</w:t>
      </w:r>
      <w:r w:rsidRPr="00E8448D">
        <w:rPr>
          <w:rFonts w:ascii="Book Antiqua" w:eastAsia="Times New Roman" w:hAnsi="Book Antiqua" w:cs="Arial"/>
          <w:sz w:val="24"/>
          <w:szCs w:val="24"/>
          <w:lang w:eastAsia="de-DE"/>
        </w:rPr>
        <w:br/>
        <w:t>Umsatzsteuer-ID-Nr.: XXX</w:t>
      </w:r>
    </w:p>
    <w:p w:rsidR="00551653" w:rsidRPr="00E8448D" w:rsidRDefault="00551653" w:rsidP="001B30EA">
      <w:pPr>
        <w:spacing w:after="0" w:line="276" w:lineRule="auto"/>
        <w:jc w:val="both"/>
        <w:outlineLvl w:val="2"/>
        <w:rPr>
          <w:rFonts w:ascii="Book Antiqua" w:eastAsia="Times New Roman" w:hAnsi="Book Antiqua" w:cs="Arial"/>
          <w:b/>
          <w:bCs/>
          <w:sz w:val="24"/>
          <w:szCs w:val="24"/>
          <w:lang w:eastAsia="de-DE"/>
        </w:rPr>
      </w:pPr>
      <w:r w:rsidRPr="00E8448D">
        <w:rPr>
          <w:rFonts w:ascii="Book Antiqua" w:eastAsia="Times New Roman" w:hAnsi="Book Antiqua" w:cs="Arial"/>
          <w:b/>
          <w:bCs/>
          <w:sz w:val="24"/>
          <w:szCs w:val="24"/>
          <w:lang w:eastAsia="de-DE"/>
        </w:rPr>
        <w:t>Statusinformationen gemäß § 11 Versicherungsvermittlungsverordnung</w:t>
      </w:r>
    </w:p>
    <w:p w:rsidR="00551653" w:rsidRPr="00E8448D" w:rsidRDefault="00551653" w:rsidP="001B30EA">
      <w:pPr>
        <w:spacing w:after="225" w:line="276" w:lineRule="auto"/>
        <w:jc w:val="both"/>
        <w:rPr>
          <w:rFonts w:ascii="Book Antiqua" w:eastAsia="Times New Roman" w:hAnsi="Book Antiqua" w:cs="Arial"/>
          <w:sz w:val="24"/>
          <w:szCs w:val="24"/>
          <w:lang w:eastAsia="de-DE"/>
        </w:rPr>
      </w:pPr>
      <w:r w:rsidRPr="00E8448D">
        <w:rPr>
          <w:rFonts w:ascii="Book Antiqua" w:eastAsia="Times New Roman" w:hAnsi="Book Antiqua" w:cs="Arial"/>
          <w:sz w:val="24"/>
          <w:szCs w:val="24"/>
          <w:lang w:eastAsia="de-DE"/>
        </w:rPr>
        <w:t xml:space="preserve">Die registrierungspflichtigen Unternehmen der </w:t>
      </w:r>
      <w:r w:rsidR="00365932" w:rsidRPr="00E8448D">
        <w:rPr>
          <w:rFonts w:ascii="Book Antiqua" w:eastAsia="Times New Roman" w:hAnsi="Book Antiqua" w:cs="Arial"/>
          <w:sz w:val="24"/>
          <w:szCs w:val="24"/>
          <w:lang w:eastAsia="de-DE"/>
        </w:rPr>
        <w:t>Firma</w:t>
      </w:r>
      <w:r w:rsidRPr="00E8448D">
        <w:rPr>
          <w:rFonts w:ascii="Book Antiqua" w:eastAsia="Times New Roman" w:hAnsi="Book Antiqua" w:cs="Arial"/>
          <w:sz w:val="24"/>
          <w:szCs w:val="24"/>
          <w:lang w:eastAsia="de-DE"/>
        </w:rPr>
        <w:t xml:space="preserve"> in Deutschland haben die erforderliche Erlaubnis erhalten und sind entsprechend im Vermittlerregister eingetragen als Versicherungsmakler (§ 34d Abs. 1 GewO).</w:t>
      </w:r>
    </w:p>
    <w:p w:rsidR="00551653" w:rsidRPr="00E8448D" w:rsidRDefault="00551653" w:rsidP="001B30EA">
      <w:pPr>
        <w:spacing w:after="225" w:line="276" w:lineRule="auto"/>
        <w:jc w:val="both"/>
        <w:rPr>
          <w:rFonts w:ascii="Book Antiqua" w:eastAsia="Times New Roman" w:hAnsi="Book Antiqua" w:cs="Arial"/>
          <w:sz w:val="24"/>
          <w:szCs w:val="24"/>
          <w:lang w:eastAsia="de-DE"/>
        </w:rPr>
      </w:pPr>
      <w:r w:rsidRPr="00E8448D">
        <w:rPr>
          <w:rFonts w:ascii="Book Antiqua" w:eastAsia="Times New Roman" w:hAnsi="Book Antiqua" w:cs="Arial"/>
          <w:sz w:val="24"/>
          <w:szCs w:val="24"/>
          <w:lang w:eastAsia="de-DE"/>
        </w:rPr>
        <w:t xml:space="preserve">Das Register ist im Internet einsehbar unter: </w:t>
      </w:r>
      <w:hyperlink r:id="rId10" w:tgtFrame="_blank" w:tooltip="www.vermittlerregister.org" w:history="1">
        <w:r w:rsidRPr="00E8448D">
          <w:rPr>
            <w:rFonts w:ascii="Book Antiqua" w:eastAsia="Times New Roman" w:hAnsi="Book Antiqua" w:cs="Arial"/>
            <w:sz w:val="24"/>
            <w:szCs w:val="24"/>
            <w:lang w:eastAsia="de-DE"/>
          </w:rPr>
          <w:t>www.vermittlerregister.org</w:t>
        </w:r>
      </w:hyperlink>
    </w:p>
    <w:p w:rsidR="00551653" w:rsidRPr="00E8448D" w:rsidRDefault="00365932" w:rsidP="001B30EA">
      <w:pPr>
        <w:spacing w:after="225" w:line="276" w:lineRule="auto"/>
        <w:jc w:val="both"/>
        <w:rPr>
          <w:rFonts w:ascii="Book Antiqua" w:eastAsia="Times New Roman" w:hAnsi="Book Antiqua" w:cs="Arial"/>
          <w:sz w:val="24"/>
          <w:szCs w:val="24"/>
          <w:lang w:eastAsia="de-DE"/>
        </w:rPr>
      </w:pPr>
      <w:r w:rsidRPr="00E8448D">
        <w:rPr>
          <w:rFonts w:ascii="Book Antiqua" w:eastAsia="Times New Roman" w:hAnsi="Book Antiqua" w:cs="Arial"/>
          <w:sz w:val="24"/>
          <w:szCs w:val="24"/>
          <w:lang w:eastAsia="de-DE"/>
        </w:rPr>
        <w:t>Firma</w:t>
      </w:r>
      <w:r w:rsidR="00551653" w:rsidRPr="00E8448D">
        <w:rPr>
          <w:rFonts w:ascii="Book Antiqua" w:eastAsia="Times New Roman" w:hAnsi="Book Antiqua" w:cs="Arial"/>
          <w:sz w:val="24"/>
          <w:szCs w:val="24"/>
          <w:lang w:eastAsia="de-DE"/>
        </w:rPr>
        <w:t xml:space="preserve"> hält keine direkte oder indirekte Beteiligung von über 10% an den Stimmrechten oder am Kapital eines Versicherungsunternehmens. Kein Versicherungsunternehmen oder Mutterunternehmen eines </w:t>
      </w:r>
      <w:r w:rsidR="00551653" w:rsidRPr="00E8448D">
        <w:rPr>
          <w:rFonts w:ascii="Book Antiqua" w:eastAsia="Times New Roman" w:hAnsi="Book Antiqua" w:cs="Arial"/>
          <w:sz w:val="24"/>
          <w:szCs w:val="24"/>
          <w:lang w:eastAsia="de-DE"/>
        </w:rPr>
        <w:lastRenderedPageBreak/>
        <w:t>Versicherungsunternehmens hält eine direkte oder indirekte Beteiligung von über 10% an den Stimmrechten oder am Kapital der Firma.</w:t>
      </w:r>
    </w:p>
    <w:p w:rsidR="002576C9" w:rsidRPr="00E8448D" w:rsidRDefault="002576C9" w:rsidP="001B30EA">
      <w:pPr>
        <w:spacing w:after="225" w:line="276" w:lineRule="auto"/>
        <w:jc w:val="both"/>
        <w:rPr>
          <w:rFonts w:ascii="Book Antiqua" w:eastAsia="Times New Roman" w:hAnsi="Book Antiqua" w:cs="Arial"/>
          <w:b/>
          <w:bCs/>
          <w:sz w:val="24"/>
          <w:szCs w:val="24"/>
          <w:lang w:eastAsia="de-DE"/>
        </w:rPr>
      </w:pPr>
    </w:p>
    <w:p w:rsidR="002576C9" w:rsidRPr="00E8448D" w:rsidRDefault="002576C9" w:rsidP="001B30EA">
      <w:pPr>
        <w:spacing w:after="225" w:line="276" w:lineRule="auto"/>
        <w:jc w:val="both"/>
        <w:rPr>
          <w:rFonts w:ascii="Book Antiqua" w:eastAsia="Times New Roman" w:hAnsi="Book Antiqua" w:cs="Arial"/>
          <w:b/>
          <w:bCs/>
          <w:sz w:val="24"/>
          <w:szCs w:val="24"/>
          <w:lang w:eastAsia="de-DE"/>
        </w:rPr>
      </w:pPr>
    </w:p>
    <w:p w:rsidR="002576C9" w:rsidRPr="00E8448D" w:rsidRDefault="00551653" w:rsidP="001B30EA">
      <w:pPr>
        <w:spacing w:after="225" w:line="276" w:lineRule="auto"/>
        <w:jc w:val="both"/>
        <w:rPr>
          <w:rFonts w:ascii="Book Antiqua" w:eastAsia="Times New Roman" w:hAnsi="Book Antiqua" w:cs="Arial"/>
          <w:sz w:val="24"/>
          <w:szCs w:val="24"/>
          <w:lang w:eastAsia="de-DE"/>
        </w:rPr>
      </w:pPr>
      <w:r w:rsidRPr="00E8448D">
        <w:rPr>
          <w:rFonts w:ascii="Book Antiqua" w:eastAsia="Times New Roman" w:hAnsi="Book Antiqua" w:cs="Arial"/>
          <w:b/>
          <w:bCs/>
          <w:sz w:val="24"/>
          <w:szCs w:val="24"/>
          <w:lang w:eastAsia="de-DE"/>
        </w:rPr>
        <w:t>Schlichtungsstellen für außergerichtliche Streitbeilegung:</w:t>
      </w:r>
    </w:p>
    <w:p w:rsidR="00551653" w:rsidRPr="00E8448D" w:rsidRDefault="00551653" w:rsidP="0019499A">
      <w:pPr>
        <w:numPr>
          <w:ilvl w:val="0"/>
          <w:numId w:val="7"/>
        </w:numPr>
        <w:spacing w:after="0" w:line="276" w:lineRule="auto"/>
        <w:ind w:left="0" w:right="120"/>
        <w:rPr>
          <w:rFonts w:ascii="Book Antiqua" w:eastAsia="Times New Roman" w:hAnsi="Book Antiqua" w:cs="Arial"/>
          <w:sz w:val="24"/>
          <w:szCs w:val="24"/>
          <w:lang w:eastAsia="de-DE"/>
        </w:rPr>
      </w:pPr>
      <w:r w:rsidRPr="00E8448D">
        <w:rPr>
          <w:rFonts w:ascii="Book Antiqua" w:eastAsia="Times New Roman" w:hAnsi="Book Antiqua" w:cs="Arial"/>
          <w:sz w:val="24"/>
          <w:szCs w:val="24"/>
          <w:lang w:eastAsia="de-DE"/>
        </w:rPr>
        <w:t>Versicherungsombudsmann e.V., Postfach 08 06 32, 10006 Berlin</w:t>
      </w:r>
      <w:r w:rsidRPr="00E8448D">
        <w:rPr>
          <w:rFonts w:ascii="Book Antiqua" w:eastAsia="Times New Roman" w:hAnsi="Book Antiqua" w:cs="Arial"/>
          <w:sz w:val="24"/>
          <w:szCs w:val="24"/>
          <w:lang w:eastAsia="de-DE"/>
        </w:rPr>
        <w:br/>
      </w:r>
      <w:hyperlink r:id="rId11" w:tgtFrame="_blank" w:tooltip="www.versicherungsombudsmann.de" w:history="1">
        <w:r w:rsidRPr="00E8448D">
          <w:rPr>
            <w:rFonts w:ascii="Book Antiqua" w:eastAsia="Times New Roman" w:hAnsi="Book Antiqua" w:cs="Arial"/>
            <w:sz w:val="24"/>
            <w:szCs w:val="24"/>
            <w:lang w:eastAsia="de-DE"/>
          </w:rPr>
          <w:t>www.versicherungsombudsmann.de</w:t>
        </w:r>
      </w:hyperlink>
    </w:p>
    <w:p w:rsidR="00551653" w:rsidRPr="00E8448D" w:rsidRDefault="00551653" w:rsidP="0019499A">
      <w:pPr>
        <w:numPr>
          <w:ilvl w:val="0"/>
          <w:numId w:val="7"/>
        </w:numPr>
        <w:spacing w:line="276" w:lineRule="auto"/>
        <w:ind w:left="0" w:right="120"/>
        <w:rPr>
          <w:rFonts w:ascii="Book Antiqua" w:eastAsia="Times New Roman" w:hAnsi="Book Antiqua" w:cs="Arial"/>
          <w:sz w:val="24"/>
          <w:szCs w:val="24"/>
          <w:lang w:eastAsia="de-DE"/>
        </w:rPr>
      </w:pPr>
      <w:r w:rsidRPr="00E8448D">
        <w:rPr>
          <w:rFonts w:ascii="Book Antiqua" w:eastAsia="Times New Roman" w:hAnsi="Book Antiqua" w:cs="Arial"/>
          <w:sz w:val="24"/>
          <w:szCs w:val="24"/>
          <w:lang w:eastAsia="de-DE"/>
        </w:rPr>
        <w:t xml:space="preserve">Ombudsmann Private Kranken- und Pflegeversicherung, </w:t>
      </w:r>
      <w:proofErr w:type="spellStart"/>
      <w:r w:rsidRPr="00E8448D">
        <w:rPr>
          <w:rFonts w:ascii="Book Antiqua" w:eastAsia="Times New Roman" w:hAnsi="Book Antiqua" w:cs="Arial"/>
          <w:sz w:val="24"/>
          <w:szCs w:val="24"/>
          <w:lang w:eastAsia="de-DE"/>
        </w:rPr>
        <w:t>Kronenstrasse</w:t>
      </w:r>
      <w:proofErr w:type="spellEnd"/>
      <w:r w:rsidRPr="00E8448D">
        <w:rPr>
          <w:rFonts w:ascii="Book Antiqua" w:eastAsia="Times New Roman" w:hAnsi="Book Antiqua" w:cs="Arial"/>
          <w:sz w:val="24"/>
          <w:szCs w:val="24"/>
          <w:lang w:eastAsia="de-DE"/>
        </w:rPr>
        <w:t xml:space="preserve"> 13, 10117 Berlin</w:t>
      </w:r>
      <w:r w:rsidRPr="00E8448D">
        <w:rPr>
          <w:rFonts w:ascii="Book Antiqua" w:eastAsia="Times New Roman" w:hAnsi="Book Antiqua" w:cs="Arial"/>
          <w:sz w:val="24"/>
          <w:szCs w:val="24"/>
          <w:lang w:eastAsia="de-DE"/>
        </w:rPr>
        <w:br/>
      </w:r>
      <w:hyperlink r:id="rId12" w:tgtFrame="_blank" w:tooltip="www.pkv-ombudsmann.de" w:history="1">
        <w:r w:rsidRPr="00E8448D">
          <w:rPr>
            <w:rFonts w:ascii="Book Antiqua" w:eastAsia="Times New Roman" w:hAnsi="Book Antiqua" w:cs="Arial"/>
            <w:sz w:val="24"/>
            <w:szCs w:val="24"/>
            <w:lang w:eastAsia="de-DE"/>
          </w:rPr>
          <w:t>www.pkv-ombudsmann.de</w:t>
        </w:r>
      </w:hyperlink>
    </w:p>
    <w:p w:rsidR="00CD4342" w:rsidRPr="00E8448D" w:rsidRDefault="00CD4342" w:rsidP="001B30EA">
      <w:pPr>
        <w:spacing w:line="276" w:lineRule="auto"/>
        <w:jc w:val="both"/>
        <w:rPr>
          <w:rFonts w:ascii="Book Antiqua" w:hAnsi="Book Antiqua"/>
          <w:sz w:val="24"/>
          <w:szCs w:val="24"/>
        </w:rPr>
      </w:pPr>
      <w:r w:rsidRPr="00E8448D">
        <w:rPr>
          <w:rFonts w:ascii="Book Antiqua" w:hAnsi="Book Antiqua"/>
          <w:sz w:val="24"/>
          <w:szCs w:val="24"/>
        </w:rPr>
        <w:t>Ein fehlerhaftes oder gar fehlendes Impressum kann zur Folge haben, dass Sie von einem Mitbewerber abgemahnt werden, wodurch für Sie nicht unerhebliche Rechtsanwaltskosten entstehen würden. Es sollte also immer darauf geachtet werden, dass ein Impressum den aktuellen gesetzlichen Anforderungen entspricht.</w:t>
      </w:r>
    </w:p>
    <w:p w:rsidR="0070246A" w:rsidRPr="00E8448D" w:rsidRDefault="0070246A" w:rsidP="001B30EA">
      <w:pPr>
        <w:spacing w:line="276" w:lineRule="auto"/>
        <w:jc w:val="both"/>
        <w:rPr>
          <w:rFonts w:ascii="Book Antiqua" w:hAnsi="Book Antiqua"/>
          <w:sz w:val="24"/>
          <w:szCs w:val="24"/>
        </w:rPr>
      </w:pPr>
    </w:p>
    <w:p w:rsidR="0070102F" w:rsidRPr="00E8448D" w:rsidRDefault="0010647A" w:rsidP="001B30EA">
      <w:pPr>
        <w:pStyle w:val="Listenabsatz"/>
        <w:numPr>
          <w:ilvl w:val="0"/>
          <w:numId w:val="2"/>
        </w:numPr>
        <w:spacing w:line="276" w:lineRule="auto"/>
        <w:jc w:val="both"/>
        <w:rPr>
          <w:rFonts w:ascii="Book Antiqua" w:hAnsi="Book Antiqua"/>
          <w:b/>
          <w:sz w:val="24"/>
          <w:szCs w:val="24"/>
        </w:rPr>
      </w:pPr>
      <w:r w:rsidRPr="00E8448D">
        <w:rPr>
          <w:rFonts w:ascii="Book Antiqua" w:hAnsi="Book Antiqua"/>
          <w:b/>
          <w:sz w:val="24"/>
          <w:szCs w:val="24"/>
        </w:rPr>
        <w:t>Datenschutzerklärung</w:t>
      </w:r>
    </w:p>
    <w:p w:rsidR="007C4E0D"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Dem Nutzer der Website, also dem potentiellen Versicherungsnehmer, muss klar und deutlich signalisiert werden, dass die von der Website erhobenen Daten gespeichert und an den Versicherer weitergegeben werden. Es ist insofern gestalterisch auf der Website eine Möglichkeit einzurichten, in der der Nutzer die Datenschutzerklärung </w:t>
      </w:r>
      <w:r w:rsidRPr="00E8448D">
        <w:rPr>
          <w:rFonts w:ascii="Book Antiqua" w:hAnsi="Book Antiqua"/>
          <w:sz w:val="24"/>
          <w:szCs w:val="24"/>
          <w:u w:val="single"/>
        </w:rPr>
        <w:t>einsehen</w:t>
      </w:r>
      <w:r w:rsidRPr="00E8448D">
        <w:rPr>
          <w:rFonts w:ascii="Book Antiqua" w:hAnsi="Book Antiqua"/>
          <w:sz w:val="24"/>
          <w:szCs w:val="24"/>
        </w:rPr>
        <w:t xml:space="preserve"> kann sowie auf Dauer auch </w:t>
      </w:r>
      <w:r w:rsidRPr="00E8448D">
        <w:rPr>
          <w:rFonts w:ascii="Book Antiqua" w:hAnsi="Book Antiqua"/>
          <w:sz w:val="24"/>
          <w:szCs w:val="24"/>
          <w:u w:val="single"/>
        </w:rPr>
        <w:t>abspeichern</w:t>
      </w:r>
      <w:r w:rsidRPr="00E8448D">
        <w:rPr>
          <w:rFonts w:ascii="Book Antiqua" w:hAnsi="Book Antiqua"/>
          <w:sz w:val="24"/>
          <w:szCs w:val="24"/>
        </w:rPr>
        <w:t xml:space="preserve"> kann. </w:t>
      </w:r>
    </w:p>
    <w:p w:rsidR="00013903"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Außerdem muss sichergestellt werden, dass der Nutzer eine eindeutige Einwilligung zur Erhebung und Weitergabe seiner Daten abgibt. Diese Einwilligung braucht nicht schriftlich zu erfolgen, da andernfalls eine On</w:t>
      </w:r>
      <w:r w:rsidR="007C4E0D" w:rsidRPr="00E8448D">
        <w:rPr>
          <w:rFonts w:ascii="Book Antiqua" w:hAnsi="Book Antiqua"/>
          <w:sz w:val="24"/>
          <w:szCs w:val="24"/>
        </w:rPr>
        <w:t>linevermittlung kaum möglich wäre</w:t>
      </w:r>
      <w:r w:rsidRPr="00E8448D">
        <w:rPr>
          <w:rFonts w:ascii="Book Antiqua" w:hAnsi="Book Antiqua"/>
          <w:sz w:val="24"/>
          <w:szCs w:val="24"/>
        </w:rPr>
        <w:t xml:space="preserve">. Ein ausdrücklicher Hinweis, vergleichbar mit dem Hinweis auf AGB, empfiehlt sich hier. Auch sollte ein gesondertes Kästchen erscheinen, welches durch den Nutzer angeklickt werden sollte. Insgesamt sei hier zu beachten, dass gerade mit dem Umgang von Daten eine besonders hohe Transparenz hergestellt werden muss. </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Eine Datenschutzerklärung kann sich</w:t>
      </w:r>
      <w:r w:rsidR="007C4E0D" w:rsidRPr="00E8448D">
        <w:rPr>
          <w:rFonts w:ascii="Book Antiqua" w:hAnsi="Book Antiqua"/>
          <w:sz w:val="24"/>
          <w:szCs w:val="24"/>
        </w:rPr>
        <w:t xml:space="preserve"> der Makler</w:t>
      </w:r>
      <w:r w:rsidRPr="00E8448D">
        <w:rPr>
          <w:rFonts w:ascii="Book Antiqua" w:hAnsi="Book Antiqua"/>
          <w:sz w:val="24"/>
          <w:szCs w:val="24"/>
        </w:rPr>
        <w:t xml:space="preserve"> ebenfalls unter </w:t>
      </w:r>
      <w:hyperlink r:id="rId13" w:history="1">
        <w:r w:rsidRPr="00E8448D">
          <w:rPr>
            <w:rStyle w:val="Hyperlink"/>
            <w:rFonts w:ascii="Book Antiqua" w:hAnsi="Book Antiqua"/>
            <w:sz w:val="24"/>
            <w:szCs w:val="24"/>
          </w:rPr>
          <w:t>www.appriori.de</w:t>
        </w:r>
      </w:hyperlink>
      <w:r w:rsidR="007C4E0D" w:rsidRPr="00E8448D">
        <w:rPr>
          <w:rFonts w:ascii="Book Antiqua" w:hAnsi="Book Antiqua"/>
          <w:sz w:val="24"/>
          <w:szCs w:val="24"/>
        </w:rPr>
        <w:t xml:space="preserve"> erstellen </w:t>
      </w:r>
      <w:r w:rsidRPr="00E8448D">
        <w:rPr>
          <w:rFonts w:ascii="Book Antiqua" w:hAnsi="Book Antiqua"/>
          <w:sz w:val="24"/>
          <w:szCs w:val="24"/>
        </w:rPr>
        <w:t>lassen.</w:t>
      </w:r>
      <w:r w:rsidR="007C4E0D" w:rsidRPr="00E8448D">
        <w:rPr>
          <w:rFonts w:ascii="Book Antiqua" w:hAnsi="Book Antiqua"/>
          <w:sz w:val="24"/>
          <w:szCs w:val="24"/>
        </w:rPr>
        <w:t xml:space="preserve"> Vergleichen Sie auch die beiliegende Anlage nach den Gesetzestexten. </w:t>
      </w:r>
    </w:p>
    <w:p w:rsidR="00013903" w:rsidRPr="00E8448D" w:rsidRDefault="00013903" w:rsidP="001B30EA">
      <w:pPr>
        <w:spacing w:line="276" w:lineRule="auto"/>
        <w:jc w:val="both"/>
        <w:rPr>
          <w:rFonts w:ascii="Book Antiqua" w:hAnsi="Book Antiqua"/>
          <w:sz w:val="24"/>
          <w:szCs w:val="24"/>
        </w:rPr>
      </w:pPr>
      <w:r w:rsidRPr="00E8448D">
        <w:rPr>
          <w:rFonts w:ascii="Book Antiqua" w:hAnsi="Book Antiqua"/>
          <w:sz w:val="24"/>
          <w:szCs w:val="24"/>
        </w:rPr>
        <w:t>Bei einem Datenverstoß gegen das BDSG drohen gem. §§ 43, 44 BDSG Ordnungsgelder bis zu 300.000 € oder sogar Haftstrafen bis zu zwei Jahren. Diese empfindlichen Strafe</w:t>
      </w:r>
      <w:r w:rsidR="009C408A" w:rsidRPr="00E8448D">
        <w:rPr>
          <w:rFonts w:ascii="Book Antiqua" w:hAnsi="Book Antiqua"/>
          <w:sz w:val="24"/>
          <w:szCs w:val="24"/>
        </w:rPr>
        <w:t>n</w:t>
      </w:r>
      <w:r w:rsidRPr="00E8448D">
        <w:rPr>
          <w:rFonts w:ascii="Book Antiqua" w:hAnsi="Book Antiqua"/>
          <w:sz w:val="24"/>
          <w:szCs w:val="24"/>
        </w:rPr>
        <w:t xml:space="preserve"> gilt es </w:t>
      </w:r>
      <w:r w:rsidR="009C408A" w:rsidRPr="00E8448D">
        <w:rPr>
          <w:rFonts w:ascii="Book Antiqua" w:hAnsi="Book Antiqua"/>
          <w:sz w:val="24"/>
          <w:szCs w:val="24"/>
        </w:rPr>
        <w:t>in jedem Falle zu vermeiden</w:t>
      </w:r>
      <w:r w:rsidRPr="00E8448D">
        <w:rPr>
          <w:rFonts w:ascii="Book Antiqua" w:hAnsi="Book Antiqua"/>
          <w:sz w:val="24"/>
          <w:szCs w:val="24"/>
        </w:rPr>
        <w:t xml:space="preserve">. </w:t>
      </w:r>
    </w:p>
    <w:p w:rsidR="005F672E" w:rsidRPr="00E8448D" w:rsidRDefault="005F672E" w:rsidP="001B30EA">
      <w:pPr>
        <w:spacing w:line="276" w:lineRule="auto"/>
        <w:jc w:val="both"/>
        <w:rPr>
          <w:rFonts w:ascii="Book Antiqua" w:hAnsi="Book Antiqua"/>
          <w:sz w:val="24"/>
          <w:szCs w:val="24"/>
        </w:rPr>
      </w:pPr>
      <w:r w:rsidRPr="00E8448D">
        <w:rPr>
          <w:rFonts w:ascii="Book Antiqua" w:hAnsi="Book Antiqua"/>
          <w:sz w:val="24"/>
          <w:szCs w:val="24"/>
        </w:rPr>
        <w:lastRenderedPageBreak/>
        <w:t>Ein Sonderthema sind die sog. „Cookies“, welche „</w:t>
      </w:r>
      <w:proofErr w:type="spellStart"/>
      <w:r w:rsidRPr="00E8448D">
        <w:rPr>
          <w:rFonts w:ascii="Book Antiqua" w:hAnsi="Book Antiqua"/>
          <w:sz w:val="24"/>
          <w:szCs w:val="24"/>
        </w:rPr>
        <w:t>pseudonymisierte</w:t>
      </w:r>
      <w:proofErr w:type="spellEnd"/>
      <w:r w:rsidRPr="00E8448D">
        <w:rPr>
          <w:rFonts w:ascii="Book Antiqua" w:hAnsi="Book Antiqua"/>
          <w:sz w:val="24"/>
          <w:szCs w:val="24"/>
        </w:rPr>
        <w:t xml:space="preserve"> Nutzungsprofile“ erlaubt. Diese Cookies sind letztlich für die personalisierte Werbung verantwortlich. Sofern Sie Cookies nutzen, haben Sie beim Setzen dieser gem. § 13 Abs. 1 S. 2 TMG den Nutzer darüber zu informieren. Ferner muss für das Setzen der Cookies eine Einwilligung vom Nutzer eingeholt werden. Wie diese Einwilligung zu erfolgen hat, ist bisher noch nicht geklärt.</w:t>
      </w:r>
      <w:r w:rsidR="000E7DD0" w:rsidRPr="00E8448D">
        <w:rPr>
          <w:rFonts w:ascii="Book Antiqua" w:hAnsi="Book Antiqua"/>
          <w:sz w:val="24"/>
          <w:szCs w:val="24"/>
        </w:rPr>
        <w:t xml:space="preserve"> Empfohlen wir diesseits die sog. „Banner-Lösung“</w:t>
      </w:r>
      <w:r w:rsidR="00FC04EA" w:rsidRPr="00E8448D">
        <w:rPr>
          <w:rFonts w:ascii="Book Antiqua" w:hAnsi="Book Antiqua"/>
          <w:sz w:val="24"/>
          <w:szCs w:val="24"/>
        </w:rPr>
        <w:t>.</w:t>
      </w:r>
    </w:p>
    <w:p w:rsidR="003A4980" w:rsidRPr="00E8448D" w:rsidRDefault="003A4980" w:rsidP="001B30EA">
      <w:pPr>
        <w:spacing w:line="276" w:lineRule="auto"/>
        <w:jc w:val="both"/>
        <w:rPr>
          <w:rFonts w:ascii="Book Antiqua" w:hAnsi="Book Antiqua"/>
          <w:sz w:val="24"/>
          <w:szCs w:val="24"/>
        </w:rPr>
      </w:pPr>
    </w:p>
    <w:p w:rsidR="000031BD" w:rsidRPr="00E8448D" w:rsidRDefault="003A4980" w:rsidP="001B30EA">
      <w:pPr>
        <w:pStyle w:val="Listenabsatz"/>
        <w:numPr>
          <w:ilvl w:val="0"/>
          <w:numId w:val="2"/>
        </w:numPr>
        <w:spacing w:line="276" w:lineRule="auto"/>
        <w:jc w:val="both"/>
        <w:rPr>
          <w:rFonts w:ascii="Book Antiqua" w:hAnsi="Book Antiqua"/>
          <w:b/>
          <w:sz w:val="24"/>
          <w:szCs w:val="24"/>
        </w:rPr>
      </w:pPr>
      <w:r w:rsidRPr="00E8448D">
        <w:rPr>
          <w:rFonts w:ascii="Book Antiqua" w:hAnsi="Book Antiqua"/>
          <w:b/>
          <w:sz w:val="24"/>
          <w:szCs w:val="24"/>
        </w:rPr>
        <w:t>Einhaltung der §§ 312i + 312j BGB</w:t>
      </w:r>
    </w:p>
    <w:p w:rsidR="0094444A" w:rsidRPr="00E8448D" w:rsidRDefault="000031BD" w:rsidP="001B30EA">
      <w:pPr>
        <w:spacing w:line="276" w:lineRule="auto"/>
        <w:jc w:val="both"/>
        <w:rPr>
          <w:rFonts w:ascii="Book Antiqua" w:hAnsi="Book Antiqua"/>
          <w:sz w:val="24"/>
          <w:szCs w:val="24"/>
        </w:rPr>
      </w:pPr>
      <w:r w:rsidRPr="00E8448D">
        <w:rPr>
          <w:rFonts w:ascii="Book Antiqua" w:hAnsi="Book Antiqua"/>
          <w:sz w:val="24"/>
          <w:szCs w:val="24"/>
        </w:rPr>
        <w:t xml:space="preserve">Ferner stellt das BGB bei „Verträgen im elektronischen Geschäftsverkehr“ eine Vielzahl von </w:t>
      </w:r>
      <w:r w:rsidR="00FC04EA" w:rsidRPr="00E8448D">
        <w:rPr>
          <w:rFonts w:ascii="Book Antiqua" w:hAnsi="Book Antiqua"/>
          <w:sz w:val="24"/>
          <w:szCs w:val="24"/>
        </w:rPr>
        <w:t>„</w:t>
      </w:r>
      <w:r w:rsidRPr="00E8448D">
        <w:rPr>
          <w:rFonts w:ascii="Book Antiqua" w:hAnsi="Book Antiqua"/>
          <w:sz w:val="24"/>
          <w:szCs w:val="24"/>
        </w:rPr>
        <w:t>kleineren</w:t>
      </w:r>
      <w:r w:rsidR="00FC04EA" w:rsidRPr="00E8448D">
        <w:rPr>
          <w:rFonts w:ascii="Book Antiqua" w:hAnsi="Book Antiqua"/>
          <w:sz w:val="24"/>
          <w:szCs w:val="24"/>
        </w:rPr>
        <w:t>“ erforderlichen</w:t>
      </w:r>
      <w:r w:rsidRPr="00E8448D">
        <w:rPr>
          <w:rFonts w:ascii="Book Antiqua" w:hAnsi="Book Antiqua"/>
          <w:sz w:val="24"/>
          <w:szCs w:val="24"/>
        </w:rPr>
        <w:t xml:space="preserve"> Regelungen auf. Diese Pflichten sollten aber schon aus Gründen der Transparenz für die meisten Websites keine Probleme darstellen. </w:t>
      </w:r>
      <w:r w:rsidR="00FC04EA" w:rsidRPr="00E8448D">
        <w:rPr>
          <w:rFonts w:ascii="Book Antiqua" w:hAnsi="Book Antiqua"/>
          <w:sz w:val="24"/>
          <w:szCs w:val="24"/>
        </w:rPr>
        <w:t xml:space="preserve">Die </w:t>
      </w:r>
      <w:r w:rsidR="0094444A" w:rsidRPr="00E8448D">
        <w:rPr>
          <w:rFonts w:ascii="Book Antiqua" w:hAnsi="Book Antiqua"/>
          <w:sz w:val="24"/>
          <w:szCs w:val="24"/>
        </w:rPr>
        <w:t>Regelungen sind hier im Einzelnen kurz skizziert und können anhand der angehängten „Checkliste“ einfach überprüft werden.</w:t>
      </w:r>
    </w:p>
    <w:p w:rsidR="002576C9" w:rsidRPr="00E8448D" w:rsidRDefault="002576C9" w:rsidP="001B30EA">
      <w:pPr>
        <w:spacing w:line="276" w:lineRule="auto"/>
        <w:jc w:val="both"/>
        <w:rPr>
          <w:rFonts w:ascii="Book Antiqua" w:hAnsi="Book Antiqua"/>
          <w:sz w:val="24"/>
          <w:szCs w:val="24"/>
        </w:rPr>
      </w:pPr>
    </w:p>
    <w:p w:rsidR="0094444A" w:rsidRPr="00E8448D" w:rsidRDefault="0094444A" w:rsidP="001B30EA">
      <w:pPr>
        <w:spacing w:line="276" w:lineRule="auto"/>
        <w:jc w:val="both"/>
        <w:rPr>
          <w:rFonts w:ascii="Book Antiqua" w:hAnsi="Book Antiqua"/>
          <w:sz w:val="24"/>
          <w:szCs w:val="24"/>
        </w:rPr>
      </w:pPr>
      <w:r w:rsidRPr="00E8448D">
        <w:rPr>
          <w:rFonts w:ascii="Book Antiqua" w:hAnsi="Book Antiqua"/>
          <w:sz w:val="24"/>
          <w:szCs w:val="24"/>
        </w:rPr>
        <w:t xml:space="preserve">Gemäß § 312i BGB hat der Unternehmer dem Kunden angemessene, wirksame und zugängliche technische Mittel zur Verfügung zu stellen, mit deren Hilfe der Kunde Eingabefehler vor Abgabe seiner Bestellung erkennen und berichtigen kann (Nr. 1). Der Kunde muss also seine Eingabefehler berichtigen können. </w:t>
      </w:r>
    </w:p>
    <w:p w:rsidR="0094444A" w:rsidRPr="00E8448D" w:rsidRDefault="0094444A" w:rsidP="001B30EA">
      <w:pPr>
        <w:spacing w:line="276" w:lineRule="auto"/>
        <w:jc w:val="both"/>
        <w:rPr>
          <w:rFonts w:ascii="Book Antiqua" w:hAnsi="Book Antiqua"/>
          <w:sz w:val="24"/>
          <w:szCs w:val="24"/>
        </w:rPr>
      </w:pPr>
      <w:r w:rsidRPr="00E8448D">
        <w:rPr>
          <w:rFonts w:ascii="Book Antiqua" w:hAnsi="Book Antiqua"/>
          <w:sz w:val="24"/>
          <w:szCs w:val="24"/>
        </w:rPr>
        <w:t xml:space="preserve">Ferner hat der Unternehmer die in Artikel 246c des Einführungsgesetzes zum Bürgerlichen Gesetzbuche bestimmten Informationen dem Kunden rechtzeitig vor Abgabe von dessen Bestellung klar und verständlich mitzuteilen (Nr. 2). Der Kunde ist nach Art. 246c EGBGB über die einzelnen Schritte, die zum Vertragsschluss führen zu informieren. Weiter muss darüber informiert werden, ob der Vertragstext nach dem Vertragsschluss von dem Unternehmer gespeichert wird und ob er dem Kunden zugänglich ist. Dem Kunden ist auch mitzuteilen, wie er mit den nach § 312i Absatz 1 Satz 1 Nummer 1 des Bürgerlichen Gesetzbuchs zur Verfügung gestellten technischen Mitteln Eingabefehler vor Abgabe der Vertragserklärung erkennen und berichtigen kann. Informiert werden muss weiter noch über die für den Vertragsschluss zur Verfügung stehenden Sprachen und den Vertragskodizes, welchen sich der Unternehmer unterworfen hat, sowie über die Möglichkeit eines elektronischen Zugangs zu diesen Regelwerken. </w:t>
      </w:r>
    </w:p>
    <w:p w:rsidR="001048C1" w:rsidRPr="00E8448D" w:rsidRDefault="0094444A" w:rsidP="001B30EA">
      <w:pPr>
        <w:spacing w:line="276" w:lineRule="auto"/>
        <w:jc w:val="both"/>
        <w:rPr>
          <w:rFonts w:ascii="Book Antiqua" w:hAnsi="Book Antiqua"/>
          <w:sz w:val="24"/>
          <w:szCs w:val="24"/>
        </w:rPr>
      </w:pPr>
      <w:r w:rsidRPr="00E8448D">
        <w:rPr>
          <w:rFonts w:ascii="Book Antiqua" w:hAnsi="Book Antiqua"/>
          <w:sz w:val="24"/>
          <w:szCs w:val="24"/>
        </w:rPr>
        <w:t>Der Unternehmer hat den Zugang von dessen Bestellung unverzüglich auf elektronischem Wege zu bestätigen (Nr. 3)</w:t>
      </w:r>
      <w:r w:rsidR="001048C1" w:rsidRPr="00E8448D">
        <w:rPr>
          <w:rFonts w:ascii="Book Antiqua" w:hAnsi="Book Antiqua"/>
          <w:sz w:val="24"/>
          <w:szCs w:val="24"/>
        </w:rPr>
        <w:t>.</w:t>
      </w:r>
    </w:p>
    <w:p w:rsidR="00D83035" w:rsidRPr="00E8448D" w:rsidRDefault="001048C1" w:rsidP="001B30EA">
      <w:pPr>
        <w:spacing w:line="276" w:lineRule="auto"/>
        <w:jc w:val="both"/>
        <w:rPr>
          <w:rFonts w:ascii="Book Antiqua" w:hAnsi="Book Antiqua"/>
          <w:sz w:val="24"/>
          <w:szCs w:val="24"/>
        </w:rPr>
      </w:pPr>
      <w:r w:rsidRPr="00E8448D">
        <w:rPr>
          <w:rFonts w:ascii="Book Antiqua" w:hAnsi="Book Antiqua"/>
          <w:sz w:val="24"/>
          <w:szCs w:val="24"/>
        </w:rPr>
        <w:lastRenderedPageBreak/>
        <w:t>Auch muss dem Kunden die Möglichkeit gegeben werden die Vertragsbestimmungen einschließlich der Allgemeinen Geschäftsbedingungen bei Vertragsschluss abzurufen und in wiedergabefähiger Form zu speichern (Nr. 4).</w:t>
      </w:r>
    </w:p>
    <w:p w:rsidR="00D325DB" w:rsidRPr="00E8448D" w:rsidRDefault="00D83035" w:rsidP="001B30EA">
      <w:pPr>
        <w:spacing w:line="276" w:lineRule="auto"/>
        <w:jc w:val="both"/>
        <w:rPr>
          <w:rFonts w:ascii="Book Antiqua" w:hAnsi="Book Antiqua"/>
          <w:sz w:val="24"/>
          <w:szCs w:val="24"/>
        </w:rPr>
      </w:pPr>
      <w:r w:rsidRPr="00E8448D">
        <w:rPr>
          <w:rFonts w:ascii="Book Antiqua" w:hAnsi="Book Antiqua"/>
          <w:sz w:val="24"/>
          <w:szCs w:val="24"/>
        </w:rPr>
        <w:t xml:space="preserve">Gemäß § 312j BGB sind auch noch weitere Regularien gegenüber </w:t>
      </w:r>
      <w:r w:rsidRPr="00E8448D">
        <w:rPr>
          <w:rFonts w:ascii="Book Antiqua" w:hAnsi="Book Antiqua"/>
          <w:sz w:val="24"/>
          <w:szCs w:val="24"/>
          <w:u w:val="single"/>
        </w:rPr>
        <w:t>Verbrauchern</w:t>
      </w:r>
      <w:r w:rsidRPr="00E8448D">
        <w:rPr>
          <w:rFonts w:ascii="Book Antiqua" w:hAnsi="Book Antiqua"/>
          <w:sz w:val="24"/>
          <w:szCs w:val="24"/>
        </w:rPr>
        <w:t xml:space="preserve"> zu beachten. </w:t>
      </w:r>
      <w:r w:rsidR="002755B1" w:rsidRPr="00E8448D">
        <w:rPr>
          <w:rFonts w:ascii="Book Antiqua" w:hAnsi="Book Antiqua"/>
          <w:sz w:val="24"/>
          <w:szCs w:val="24"/>
        </w:rPr>
        <w:t>Der Unternehmer muss gem. Abs. 2 dem Verbraucher die Informationen gemäß Artikel 246a § 1 Absatz 1 Satz 1 Nummer 1, 4, 5, 11 und 12 des Einführungsgesetzes zum Bürgerlichen Gesetzbuche, unmittelbar bevor der Verbraucher seine Bestellung abgibt, klar und verständlich in hervorgehobener Weise zur Verfügung stellen. Der Verbraucher muss über die wesentlichen Eigenschaften der Waren oder Dienstleistungen in dem für das Kommunikationsmittel und für die Waren und Dienstleistungen angemessenen Umfang informiert werden (Nr. 1). Ferner muss der Kunde informiert werden über den Gesamtpreis der Waren oder Dienstleistungen einschließlich aller Steuern und Abgaben, oder in den Fällen, in denen der Preis auf Grund der Beschaffenheit der Waren oder Dienstleistungen vernünftigerweise nicht im Voraus berechnet werden kann, die Art der Preisberechnung sowie gegebenenfalls alle zusätzlichen Fracht-, Liefer- oder Versandkosten und alle sonstigen Kosten, oder in den Fällen, in denen diese Kosten vernünftigerweise nicht im Voraus berechnet werden können, die Tatsache, dass solche zusätzlichen Kosten anfallen können (Nr. 4). Dies gilt selbstverständlich nur soweit dem Kunden auch tatsächlich direkt Kosten gegenüber dem Versicherungsmakler entstehen. Ferner muss im Falle eines unbefristeten Vertrags od</w:t>
      </w:r>
      <w:r w:rsidR="0031672E" w:rsidRPr="00E8448D">
        <w:rPr>
          <w:rFonts w:ascii="Book Antiqua" w:hAnsi="Book Antiqua"/>
          <w:sz w:val="24"/>
          <w:szCs w:val="24"/>
        </w:rPr>
        <w:t>er eines Abonnement-Vertrags der</w:t>
      </w:r>
      <w:r w:rsidR="002755B1" w:rsidRPr="00E8448D">
        <w:rPr>
          <w:rFonts w:ascii="Book Antiqua" w:hAnsi="Book Antiqua"/>
          <w:sz w:val="24"/>
          <w:szCs w:val="24"/>
        </w:rPr>
        <w:t xml:space="preserve"> Gesamtpreis ange</w:t>
      </w:r>
      <w:r w:rsidR="0031672E" w:rsidRPr="00E8448D">
        <w:rPr>
          <w:rFonts w:ascii="Book Antiqua" w:hAnsi="Book Antiqua"/>
          <w:sz w:val="24"/>
          <w:szCs w:val="24"/>
        </w:rPr>
        <w:t>ge</w:t>
      </w:r>
      <w:r w:rsidR="002755B1" w:rsidRPr="00E8448D">
        <w:rPr>
          <w:rFonts w:ascii="Book Antiqua" w:hAnsi="Book Antiqua"/>
          <w:sz w:val="24"/>
          <w:szCs w:val="24"/>
        </w:rPr>
        <w:t>ben werden; dieser umfasst die pro Abrechnungszeitraum anfallenden Gesamtkosten und, wenn für einen solchen Vertrag Festbeträge in Rechnung gestellt werden, ebenfalls die monatlichen Gesamtkosten; wenn die Gesamtkosten vernünftigerweise nicht im Voraus berechnet werden können, ist die Art der Preisberechnung anzugeben (Nr. 5). Auch muss gegebenenfalls über die Laufzeit des Vertrags oder die Bedingungen der Kündigung unbefristeter Verträge oder sich automatisch verlängernder Verträge informiert werden (Nr. 11). Sofern der Verbraucher eine Mindestdauer der Verpflichtungen eingeht, ist er darüber ebenfalls zu informieren (Nr. 12).</w:t>
      </w:r>
    </w:p>
    <w:p w:rsidR="00E74740" w:rsidRPr="00E8448D" w:rsidRDefault="006B4829" w:rsidP="001B30EA">
      <w:pPr>
        <w:spacing w:line="276" w:lineRule="auto"/>
        <w:jc w:val="both"/>
        <w:rPr>
          <w:rFonts w:ascii="Book Antiqua" w:hAnsi="Book Antiqua"/>
          <w:sz w:val="24"/>
          <w:szCs w:val="24"/>
        </w:rPr>
      </w:pPr>
      <w:r w:rsidRPr="00E8448D">
        <w:rPr>
          <w:rFonts w:ascii="Book Antiqua" w:hAnsi="Book Antiqua"/>
          <w:sz w:val="24"/>
          <w:szCs w:val="24"/>
        </w:rPr>
        <w:t>Der Unternehmer hat die Bestellsituation bei einem Vertrag nach § 312i Abs. 2 BGB so zu gestalten, dass der Verbraucher mit seiner Bestellung ausdrücklich bestätigt, dass er sich zu einer Zahlung verpflichtet. Erfolgt die Bestellung über eine Schaltfläche, ist die Pflicht des Unternehmers aus nur erfüllt, wenn diese Schaltfläche gut lesbar mit nichts anderem als den Wörtern „zahlungspflichtig bestellen” oder mit einer entsprechenden eindeutigen Formulierung beschriftet ist.</w:t>
      </w:r>
    </w:p>
    <w:p w:rsidR="00E122E8" w:rsidRPr="00E8448D" w:rsidRDefault="00E74740" w:rsidP="001B30EA">
      <w:pPr>
        <w:spacing w:line="276" w:lineRule="auto"/>
        <w:jc w:val="both"/>
        <w:rPr>
          <w:rFonts w:ascii="Book Antiqua" w:hAnsi="Book Antiqua"/>
          <w:sz w:val="24"/>
          <w:szCs w:val="24"/>
        </w:rPr>
      </w:pPr>
      <w:r w:rsidRPr="00E8448D">
        <w:rPr>
          <w:rFonts w:ascii="Book Antiqua" w:hAnsi="Book Antiqua"/>
          <w:sz w:val="24"/>
          <w:szCs w:val="24"/>
        </w:rPr>
        <w:t xml:space="preserve">Die Besonderheit und gleichzeitig auch die Schwierigkeit der Umsetzungen dieser Regeln liegt darin, dass es sich beim entgeltlichen Versicherungsmaklervertrag nicht </w:t>
      </w:r>
      <w:r w:rsidRPr="00E8448D">
        <w:rPr>
          <w:rFonts w:ascii="Book Antiqua" w:hAnsi="Book Antiqua"/>
          <w:sz w:val="24"/>
          <w:szCs w:val="24"/>
        </w:rPr>
        <w:lastRenderedPageBreak/>
        <w:t>um den typischen, dem Gesetz zugrunde gelegten, „</w:t>
      </w:r>
      <w:proofErr w:type="spellStart"/>
      <w:r w:rsidRPr="00E8448D">
        <w:rPr>
          <w:rFonts w:ascii="Book Antiqua" w:hAnsi="Book Antiqua"/>
          <w:sz w:val="24"/>
          <w:szCs w:val="24"/>
        </w:rPr>
        <w:t>Onlineshopvertrag</w:t>
      </w:r>
      <w:proofErr w:type="spellEnd"/>
      <w:r w:rsidRPr="00E8448D">
        <w:rPr>
          <w:rFonts w:ascii="Book Antiqua" w:hAnsi="Book Antiqua"/>
          <w:sz w:val="24"/>
          <w:szCs w:val="24"/>
        </w:rPr>
        <w:t xml:space="preserve">“ handelt. Da Sie vielmehr eine Dienstleistung „verkaufen“ passen die Regelungen, wenn überhaupt nur mit sehr viel Kreativität. Ob hier eine Konkretisierung für das Angebot von Dienstleistungen vom Gesetzgeber zu erwarten ist, bleibt abzuwarten. Sofern Sie jedoch die angehängte Checkliste beachten, sind Sie auf der sicheren Seite. Ferner gilt auch zu beachten, dass diese Regelungen nur Anwendung finden, wenn der Vertrag ausschließlich – ohne individuelle Kommunikation – über die Website geschlossen wurde.  </w:t>
      </w:r>
    </w:p>
    <w:p w:rsidR="0010647A" w:rsidRPr="00E8448D" w:rsidRDefault="00E122E8" w:rsidP="001B30EA">
      <w:pPr>
        <w:spacing w:line="276" w:lineRule="auto"/>
        <w:jc w:val="both"/>
        <w:rPr>
          <w:rFonts w:ascii="Book Antiqua" w:hAnsi="Book Antiqua"/>
          <w:sz w:val="24"/>
          <w:szCs w:val="24"/>
        </w:rPr>
      </w:pPr>
      <w:r w:rsidRPr="00E8448D">
        <w:rPr>
          <w:rFonts w:ascii="Book Antiqua" w:hAnsi="Book Antiqua"/>
          <w:sz w:val="24"/>
          <w:szCs w:val="24"/>
        </w:rPr>
        <w:t>Auf Grund der Komplexität dieser Regelungen sollten Sie die angehängte Checkliste mit Hilfe Ihres Rechtsanwaltes einmal überprüfen.</w:t>
      </w:r>
      <w:r w:rsidR="00B0043D" w:rsidRPr="00E8448D">
        <w:rPr>
          <w:rFonts w:ascii="Book Antiqua" w:hAnsi="Book Antiqua"/>
          <w:sz w:val="24"/>
          <w:szCs w:val="24"/>
        </w:rPr>
        <w:t xml:space="preserve"> Werden diese Informationen nicht eingehalten, kann eine kostenpflichtige Abmahnung durch Mitbewerber die Folge sein.</w:t>
      </w:r>
      <w:r w:rsidR="0070102F" w:rsidRPr="00E8448D">
        <w:rPr>
          <w:rFonts w:ascii="Book Antiqua" w:hAnsi="Book Antiqua"/>
          <w:b/>
          <w:sz w:val="24"/>
          <w:szCs w:val="24"/>
        </w:rPr>
        <w:br/>
      </w:r>
    </w:p>
    <w:p w:rsidR="0070102F" w:rsidRPr="00E8448D" w:rsidRDefault="0070102F" w:rsidP="001B30EA">
      <w:pPr>
        <w:pStyle w:val="Listenabsatz"/>
        <w:numPr>
          <w:ilvl w:val="0"/>
          <w:numId w:val="1"/>
        </w:numPr>
        <w:spacing w:line="276" w:lineRule="auto"/>
        <w:jc w:val="both"/>
        <w:rPr>
          <w:rFonts w:ascii="Book Antiqua" w:hAnsi="Book Antiqua"/>
          <w:b/>
          <w:sz w:val="24"/>
          <w:szCs w:val="24"/>
        </w:rPr>
      </w:pPr>
      <w:r w:rsidRPr="00E8448D">
        <w:rPr>
          <w:rFonts w:ascii="Book Antiqua" w:hAnsi="Book Antiqua"/>
          <w:b/>
          <w:sz w:val="24"/>
          <w:szCs w:val="24"/>
        </w:rPr>
        <w:t>Der Maklervertrag</w:t>
      </w:r>
    </w:p>
    <w:p w:rsidR="002576C9" w:rsidRPr="00E8448D" w:rsidRDefault="002576C9" w:rsidP="001B30EA">
      <w:pPr>
        <w:pStyle w:val="Listenabsatz"/>
        <w:spacing w:line="276" w:lineRule="auto"/>
        <w:ind w:left="1080"/>
        <w:jc w:val="both"/>
        <w:rPr>
          <w:rFonts w:ascii="Book Antiqua" w:hAnsi="Book Antiqua"/>
          <w:b/>
          <w:sz w:val="24"/>
          <w:szCs w:val="24"/>
        </w:rPr>
      </w:pP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Das Kernstück der Offline- sowie der Onlinevermittlung ist der Maklervertrag. Hinsichtlich der einzelnen Ausgestaltung des Maklervertrages ergeben sich grundsätzlich kaum </w:t>
      </w:r>
      <w:r w:rsidR="007C4E0D" w:rsidRPr="00E8448D">
        <w:rPr>
          <w:rFonts w:ascii="Book Antiqua" w:hAnsi="Book Antiqua"/>
          <w:sz w:val="24"/>
          <w:szCs w:val="24"/>
        </w:rPr>
        <w:t xml:space="preserve">rechtliche </w:t>
      </w:r>
      <w:r w:rsidRPr="00E8448D">
        <w:rPr>
          <w:rFonts w:ascii="Book Antiqua" w:hAnsi="Book Antiqua"/>
          <w:sz w:val="24"/>
          <w:szCs w:val="24"/>
        </w:rPr>
        <w:t>Unterschiede.</w:t>
      </w:r>
    </w:p>
    <w:p w:rsidR="0070102F" w:rsidRPr="00E8448D" w:rsidRDefault="0070102F" w:rsidP="001B30EA">
      <w:pPr>
        <w:spacing w:line="276" w:lineRule="auto"/>
        <w:jc w:val="both"/>
        <w:rPr>
          <w:rFonts w:ascii="Book Antiqua" w:hAnsi="Book Antiqua"/>
          <w:sz w:val="24"/>
          <w:szCs w:val="24"/>
        </w:rPr>
      </w:pPr>
    </w:p>
    <w:p w:rsidR="007C4E0D" w:rsidRPr="00E8448D" w:rsidRDefault="0070102F" w:rsidP="001B30EA">
      <w:pPr>
        <w:pStyle w:val="Listenabsatz"/>
        <w:numPr>
          <w:ilvl w:val="0"/>
          <w:numId w:val="3"/>
        </w:numPr>
        <w:spacing w:line="276" w:lineRule="auto"/>
        <w:jc w:val="both"/>
        <w:rPr>
          <w:rFonts w:ascii="Book Antiqua" w:hAnsi="Book Antiqua"/>
          <w:b/>
          <w:sz w:val="24"/>
          <w:szCs w:val="24"/>
        </w:rPr>
      </w:pPr>
      <w:r w:rsidRPr="00E8448D">
        <w:rPr>
          <w:rFonts w:ascii="Book Antiqua" w:hAnsi="Book Antiqua"/>
          <w:b/>
          <w:sz w:val="24"/>
          <w:szCs w:val="24"/>
        </w:rPr>
        <w:t>Allgemeines zum Maklervertrag</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Der Versicherungsmaklervertrag kommt zwischen dem Versicherungsnehmer und dem Versicherungsmakler zustande. Er dient mithin als Grundlage dafür, dass der Versicherungsmakler die Tätigkeit für den Versicherungsnehmer</w:t>
      </w:r>
      <w:r w:rsidR="007C4E0D" w:rsidRPr="00E8448D">
        <w:rPr>
          <w:rFonts w:ascii="Book Antiqua" w:hAnsi="Book Antiqua"/>
          <w:sz w:val="24"/>
          <w:szCs w:val="24"/>
        </w:rPr>
        <w:t>,</w:t>
      </w:r>
      <w:r w:rsidRPr="00E8448D">
        <w:rPr>
          <w:rFonts w:ascii="Book Antiqua" w:hAnsi="Book Antiqua"/>
          <w:sz w:val="24"/>
          <w:szCs w:val="24"/>
        </w:rPr>
        <w:t xml:space="preserve"> Versicherungs</w:t>
      </w:r>
      <w:r w:rsidR="00FC04EA" w:rsidRPr="00E8448D">
        <w:rPr>
          <w:rFonts w:ascii="Book Antiqua" w:hAnsi="Book Antiqua"/>
          <w:sz w:val="24"/>
          <w:szCs w:val="24"/>
        </w:rPr>
        <w:t>-</w:t>
      </w:r>
      <w:r w:rsidRPr="00E8448D">
        <w:rPr>
          <w:rFonts w:ascii="Book Antiqua" w:hAnsi="Book Antiqua"/>
          <w:sz w:val="24"/>
          <w:szCs w:val="24"/>
        </w:rPr>
        <w:t>produkte zu suchen</w:t>
      </w:r>
      <w:r w:rsidR="007C4E0D" w:rsidRPr="00E8448D">
        <w:rPr>
          <w:rFonts w:ascii="Book Antiqua" w:hAnsi="Book Antiqua"/>
          <w:sz w:val="24"/>
          <w:szCs w:val="24"/>
        </w:rPr>
        <w:t>,</w:t>
      </w:r>
      <w:r w:rsidRPr="00E8448D">
        <w:rPr>
          <w:rFonts w:ascii="Book Antiqua" w:hAnsi="Book Antiqua"/>
          <w:sz w:val="24"/>
          <w:szCs w:val="24"/>
        </w:rPr>
        <w:t xml:space="preserve"> aufnimmt. Dabei braucht ein solcher Maklervertrag grundsätzlich nicht </w:t>
      </w:r>
      <w:r w:rsidR="007C4E0D" w:rsidRPr="00E8448D">
        <w:rPr>
          <w:rFonts w:ascii="Book Antiqua" w:hAnsi="Book Antiqua"/>
          <w:sz w:val="24"/>
          <w:szCs w:val="24"/>
        </w:rPr>
        <w:t>„</w:t>
      </w:r>
      <w:r w:rsidRPr="00E8448D">
        <w:rPr>
          <w:rFonts w:ascii="Book Antiqua" w:hAnsi="Book Antiqua"/>
          <w:sz w:val="24"/>
          <w:szCs w:val="24"/>
        </w:rPr>
        <w:t>schriftlich</w:t>
      </w:r>
      <w:r w:rsidR="007C4E0D" w:rsidRPr="00E8448D">
        <w:rPr>
          <w:rFonts w:ascii="Book Antiqua" w:hAnsi="Book Antiqua"/>
          <w:sz w:val="24"/>
          <w:szCs w:val="24"/>
        </w:rPr>
        <w:t>“ (oder in Textform)</w:t>
      </w:r>
      <w:r w:rsidRPr="00E8448D">
        <w:rPr>
          <w:rFonts w:ascii="Book Antiqua" w:hAnsi="Book Antiqua"/>
          <w:sz w:val="24"/>
          <w:szCs w:val="24"/>
        </w:rPr>
        <w:t xml:space="preserve"> abgeschlossen werden. Ein schlüssiges Verhalten genügt für den Vertragsschluss. Es empfiehlt sich dennoch einen Vertrag „schriftlich“ festzuhalten, in welchem die Rechte und Pflichten der einzelnen Parteien näher ausgestaltet sind. </w:t>
      </w:r>
    </w:p>
    <w:p w:rsidR="0070102F" w:rsidRPr="00E8448D" w:rsidRDefault="0070102F"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3"/>
        </w:numPr>
        <w:spacing w:line="276" w:lineRule="auto"/>
        <w:jc w:val="both"/>
        <w:rPr>
          <w:rFonts w:ascii="Book Antiqua" w:hAnsi="Book Antiqua"/>
          <w:b/>
          <w:sz w:val="24"/>
          <w:szCs w:val="24"/>
        </w:rPr>
      </w:pPr>
      <w:r w:rsidRPr="00E8448D">
        <w:rPr>
          <w:rFonts w:ascii="Book Antiqua" w:hAnsi="Book Antiqua"/>
          <w:b/>
          <w:sz w:val="24"/>
          <w:szCs w:val="24"/>
        </w:rPr>
        <w:t>Besonderheiten</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Der Maklervertrag unterliegt keinem Schriftformerfordernis. Er kann mithin also auch formfrei geschlossen werden. Einem Vertragsschluss, ähnlich einem Shop-System wie Amazon oder eBay, steht also grundsätzlich nichts im Wege. Insbesondere treten kaum Probleme auf, da der Maklervertrag an sich unentgeltlich – mithin also ohne Verpflichtung zur Zahlung von Geld – entsteht. Dem potentiellen </w:t>
      </w:r>
      <w:r w:rsidRPr="00E8448D">
        <w:rPr>
          <w:rFonts w:ascii="Book Antiqua" w:hAnsi="Book Antiqua"/>
          <w:sz w:val="24"/>
          <w:szCs w:val="24"/>
        </w:rPr>
        <w:lastRenderedPageBreak/>
        <w:t>Kunden muss lediglich offen dargestellt werden, welche Schritte bis zu einem endgültigen Vertragsschluss des Maklervertrages, sei er auch unentgeltlich, führen.</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Es ist jedoch auch unbenommen </w:t>
      </w:r>
      <w:r w:rsidR="007C4E0D" w:rsidRPr="00E8448D">
        <w:rPr>
          <w:rFonts w:ascii="Book Antiqua" w:hAnsi="Book Antiqua"/>
          <w:sz w:val="24"/>
          <w:szCs w:val="24"/>
        </w:rPr>
        <w:t>ein Muster</w:t>
      </w:r>
      <w:r w:rsidRPr="00E8448D">
        <w:rPr>
          <w:rFonts w:ascii="Book Antiqua" w:hAnsi="Book Antiqua"/>
          <w:sz w:val="24"/>
          <w:szCs w:val="24"/>
        </w:rPr>
        <w:t xml:space="preserve"> des Maklervertrages auf Ihrer Website online zu stellen und sich diese ausgefüllt und per Mail oder per Post zusenden zu lassen. Sie können auf Grund der For</w:t>
      </w:r>
      <w:r w:rsidR="007C4E0D" w:rsidRPr="00E8448D">
        <w:rPr>
          <w:rFonts w:ascii="Book Antiqua" w:hAnsi="Book Antiqua"/>
          <w:sz w:val="24"/>
          <w:szCs w:val="24"/>
        </w:rPr>
        <w:t>mfreiheit damit verfahren, wie S</w:t>
      </w:r>
      <w:r w:rsidRPr="00E8448D">
        <w:rPr>
          <w:rFonts w:ascii="Book Antiqua" w:hAnsi="Book Antiqua"/>
          <w:sz w:val="24"/>
          <w:szCs w:val="24"/>
        </w:rPr>
        <w:t xml:space="preserve">ie </w:t>
      </w:r>
      <w:r w:rsidR="007C4E0D" w:rsidRPr="00E8448D">
        <w:rPr>
          <w:rFonts w:ascii="Book Antiqua" w:hAnsi="Book Antiqua"/>
          <w:sz w:val="24"/>
          <w:szCs w:val="24"/>
        </w:rPr>
        <w:t>es bevorzugen.</w:t>
      </w:r>
      <w:r w:rsidRPr="00E8448D">
        <w:rPr>
          <w:rFonts w:ascii="Book Antiqua" w:hAnsi="Book Antiqua"/>
          <w:sz w:val="24"/>
          <w:szCs w:val="24"/>
        </w:rPr>
        <w:t xml:space="preserve"> </w:t>
      </w:r>
    </w:p>
    <w:p w:rsidR="002576C9" w:rsidRPr="00E8448D" w:rsidRDefault="002576C9" w:rsidP="001B30EA">
      <w:pPr>
        <w:spacing w:line="276" w:lineRule="auto"/>
        <w:jc w:val="both"/>
        <w:rPr>
          <w:rFonts w:ascii="Book Antiqua" w:hAnsi="Book Antiqua"/>
          <w:sz w:val="24"/>
          <w:szCs w:val="24"/>
        </w:rPr>
      </w:pPr>
    </w:p>
    <w:p w:rsidR="007C6F6A" w:rsidRPr="00E8448D" w:rsidRDefault="0017198D" w:rsidP="001B30EA">
      <w:pPr>
        <w:pStyle w:val="Listenabsatz"/>
        <w:numPr>
          <w:ilvl w:val="0"/>
          <w:numId w:val="3"/>
        </w:numPr>
        <w:spacing w:line="276" w:lineRule="auto"/>
        <w:jc w:val="both"/>
        <w:rPr>
          <w:rFonts w:ascii="Book Antiqua" w:hAnsi="Book Antiqua"/>
          <w:b/>
          <w:sz w:val="24"/>
          <w:szCs w:val="24"/>
        </w:rPr>
      </w:pPr>
      <w:r w:rsidRPr="00E8448D">
        <w:rPr>
          <w:rFonts w:ascii="Book Antiqua" w:hAnsi="Book Antiqua"/>
          <w:b/>
          <w:sz w:val="24"/>
          <w:szCs w:val="24"/>
        </w:rPr>
        <w:t>Maklervollmacht</w:t>
      </w:r>
    </w:p>
    <w:p w:rsidR="00F61E1E" w:rsidRPr="00E8448D" w:rsidRDefault="00F61E1E" w:rsidP="001B30EA">
      <w:pPr>
        <w:spacing w:line="276" w:lineRule="auto"/>
        <w:jc w:val="both"/>
        <w:rPr>
          <w:rFonts w:ascii="Book Antiqua" w:hAnsi="Book Antiqua"/>
          <w:sz w:val="24"/>
          <w:szCs w:val="24"/>
        </w:rPr>
      </w:pPr>
      <w:r w:rsidRPr="00E8448D">
        <w:rPr>
          <w:rFonts w:ascii="Book Antiqua" w:hAnsi="Book Antiqua"/>
          <w:sz w:val="24"/>
          <w:szCs w:val="24"/>
        </w:rPr>
        <w:t>Eine Vollmacht kann grundsätzlich formfrei erteilt werden. Sie muss daher nicht zwingend schriftlich niedergeschrieben sein.</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Es sollte jedoch beachtet werden, dass zum reibungslosen Ablauf bei den Versicherern die </w:t>
      </w:r>
      <w:r w:rsidRPr="00E8448D">
        <w:rPr>
          <w:rFonts w:ascii="Book Antiqua" w:hAnsi="Book Antiqua"/>
          <w:sz w:val="24"/>
          <w:szCs w:val="24"/>
          <w:u w:val="single"/>
        </w:rPr>
        <w:t>Maklervollmacht mit einer Unterschrift</w:t>
      </w:r>
      <w:r w:rsidRPr="00E8448D">
        <w:rPr>
          <w:rFonts w:ascii="Book Antiqua" w:hAnsi="Book Antiqua"/>
          <w:sz w:val="24"/>
          <w:szCs w:val="24"/>
        </w:rPr>
        <w:t xml:space="preserve"> des Kunden</w:t>
      </w:r>
      <w:r w:rsidR="0017198D" w:rsidRPr="00E8448D">
        <w:rPr>
          <w:rFonts w:ascii="Book Antiqua" w:hAnsi="Book Antiqua"/>
          <w:sz w:val="24"/>
          <w:szCs w:val="24"/>
        </w:rPr>
        <w:t xml:space="preserve"> im Original</w:t>
      </w:r>
      <w:r w:rsidRPr="00E8448D">
        <w:rPr>
          <w:rFonts w:ascii="Book Antiqua" w:hAnsi="Book Antiqua"/>
          <w:sz w:val="24"/>
          <w:szCs w:val="24"/>
        </w:rPr>
        <w:t xml:space="preserve"> </w:t>
      </w:r>
      <w:r w:rsidR="007C4E0D" w:rsidRPr="00E8448D">
        <w:rPr>
          <w:rFonts w:ascii="Book Antiqua" w:hAnsi="Book Antiqua"/>
          <w:sz w:val="24"/>
          <w:szCs w:val="24"/>
        </w:rPr>
        <w:t xml:space="preserve">zu </w:t>
      </w:r>
      <w:r w:rsidRPr="00E8448D">
        <w:rPr>
          <w:rFonts w:ascii="Book Antiqua" w:hAnsi="Book Antiqua"/>
          <w:sz w:val="24"/>
          <w:szCs w:val="24"/>
        </w:rPr>
        <w:t>versehen ist</w:t>
      </w:r>
      <w:r w:rsidR="00F61E1E" w:rsidRPr="00E8448D">
        <w:rPr>
          <w:rFonts w:ascii="Book Antiqua" w:hAnsi="Book Antiqua"/>
          <w:sz w:val="24"/>
          <w:szCs w:val="24"/>
        </w:rPr>
        <w:t>, da der Versicherer andernfa</w:t>
      </w:r>
      <w:r w:rsidR="00FC04EA" w:rsidRPr="00E8448D">
        <w:rPr>
          <w:rFonts w:ascii="Book Antiqua" w:hAnsi="Book Antiqua"/>
          <w:sz w:val="24"/>
          <w:szCs w:val="24"/>
        </w:rPr>
        <w:t>lls diese nicht akzeptieren braucht</w:t>
      </w:r>
      <w:r w:rsidRPr="00E8448D">
        <w:rPr>
          <w:rFonts w:ascii="Book Antiqua" w:hAnsi="Book Antiqua"/>
          <w:sz w:val="24"/>
          <w:szCs w:val="24"/>
        </w:rPr>
        <w:t>.</w:t>
      </w:r>
      <w:r w:rsidR="0017198D" w:rsidRPr="00E8448D">
        <w:rPr>
          <w:rFonts w:ascii="Book Antiqua" w:hAnsi="Book Antiqua"/>
          <w:sz w:val="24"/>
          <w:szCs w:val="24"/>
        </w:rPr>
        <w:t xml:space="preserve"> Bei de</w:t>
      </w:r>
      <w:r w:rsidR="00F61E1E" w:rsidRPr="00E8448D">
        <w:rPr>
          <w:rFonts w:ascii="Book Antiqua" w:hAnsi="Book Antiqua"/>
          <w:sz w:val="24"/>
          <w:szCs w:val="24"/>
        </w:rPr>
        <w:t>n</w:t>
      </w:r>
      <w:r w:rsidR="0017198D" w:rsidRPr="00E8448D">
        <w:rPr>
          <w:rFonts w:ascii="Book Antiqua" w:hAnsi="Book Antiqua"/>
          <w:sz w:val="24"/>
          <w:szCs w:val="24"/>
        </w:rPr>
        <w:t xml:space="preserve"> Vollmacht</w:t>
      </w:r>
      <w:r w:rsidR="00F61E1E" w:rsidRPr="00E8448D">
        <w:rPr>
          <w:rFonts w:ascii="Book Antiqua" w:hAnsi="Book Antiqua"/>
          <w:sz w:val="24"/>
          <w:szCs w:val="24"/>
        </w:rPr>
        <w:t>surkunden</w:t>
      </w:r>
      <w:r w:rsidR="0017198D" w:rsidRPr="00E8448D">
        <w:rPr>
          <w:rFonts w:ascii="Book Antiqua" w:hAnsi="Book Antiqua"/>
          <w:sz w:val="24"/>
          <w:szCs w:val="24"/>
        </w:rPr>
        <w:t xml:space="preserve"> muss sich somit um ein Schriftstück handeln, bei dem der Urkundeninhalt durch eine abschließende und den Text abdeckende Namensunterschrift oder ein notariell beglaubigtes Handzeichen vom Vollmachtgeber als Aussteller unterzeichnet ist (</w:t>
      </w:r>
      <w:proofErr w:type="spellStart"/>
      <w:r w:rsidR="0017198D" w:rsidRPr="00E8448D">
        <w:rPr>
          <w:rFonts w:ascii="Book Antiqua" w:hAnsi="Book Antiqua"/>
          <w:sz w:val="24"/>
          <w:szCs w:val="24"/>
        </w:rPr>
        <w:t>MüKo</w:t>
      </w:r>
      <w:proofErr w:type="spellEnd"/>
      <w:r w:rsidR="0017198D" w:rsidRPr="00E8448D">
        <w:rPr>
          <w:rFonts w:ascii="Book Antiqua" w:hAnsi="Book Antiqua"/>
          <w:sz w:val="24"/>
          <w:szCs w:val="24"/>
        </w:rPr>
        <w:t xml:space="preserve">-BGB, </w:t>
      </w:r>
      <w:r w:rsidR="0017198D" w:rsidRPr="00E8448D">
        <w:rPr>
          <w:rFonts w:ascii="Book Antiqua" w:hAnsi="Book Antiqua"/>
          <w:i/>
          <w:sz w:val="24"/>
          <w:szCs w:val="24"/>
        </w:rPr>
        <w:t>Schubert</w:t>
      </w:r>
      <w:r w:rsidR="0017198D" w:rsidRPr="00E8448D">
        <w:rPr>
          <w:rFonts w:ascii="Book Antiqua" w:hAnsi="Book Antiqua"/>
          <w:sz w:val="24"/>
          <w:szCs w:val="24"/>
        </w:rPr>
        <w:t xml:space="preserve">, § 172 </w:t>
      </w:r>
      <w:proofErr w:type="spellStart"/>
      <w:r w:rsidR="0017198D" w:rsidRPr="00E8448D">
        <w:rPr>
          <w:rFonts w:ascii="Book Antiqua" w:hAnsi="Book Antiqua"/>
          <w:sz w:val="24"/>
          <w:szCs w:val="24"/>
        </w:rPr>
        <w:t>Rn</w:t>
      </w:r>
      <w:proofErr w:type="spellEnd"/>
      <w:r w:rsidR="0017198D" w:rsidRPr="00E8448D">
        <w:rPr>
          <w:rFonts w:ascii="Book Antiqua" w:hAnsi="Book Antiqua"/>
          <w:sz w:val="24"/>
          <w:szCs w:val="24"/>
        </w:rPr>
        <w:t>. 13).</w:t>
      </w:r>
      <w:r w:rsidR="00221391" w:rsidRPr="00E8448D">
        <w:rPr>
          <w:rFonts w:ascii="Book Antiqua" w:hAnsi="Book Antiqua"/>
          <w:sz w:val="24"/>
          <w:szCs w:val="24"/>
        </w:rPr>
        <w:t xml:space="preserve"> Dabei kann die Schriftform gem. § 126 Abs. 3 BGB durch die elektronische Form ersetzt werden. </w:t>
      </w:r>
      <w:r w:rsidR="00F8365B" w:rsidRPr="00E8448D">
        <w:rPr>
          <w:rFonts w:ascii="Book Antiqua" w:hAnsi="Book Antiqua"/>
          <w:sz w:val="24"/>
          <w:szCs w:val="24"/>
        </w:rPr>
        <w:t xml:space="preserve">Bei der elektronischen Form nach § 126a BGB handelt es sich um eine Erklärung, welche mit einer qualifizierten elektronischen Signatur nach dem </w:t>
      </w:r>
      <w:proofErr w:type="spellStart"/>
      <w:r w:rsidR="00F8365B" w:rsidRPr="00E8448D">
        <w:rPr>
          <w:rFonts w:ascii="Book Antiqua" w:hAnsi="Book Antiqua"/>
          <w:sz w:val="24"/>
          <w:szCs w:val="24"/>
        </w:rPr>
        <w:t>Signaturengesetz</w:t>
      </w:r>
      <w:proofErr w:type="spellEnd"/>
      <w:r w:rsidR="00F8365B" w:rsidRPr="00E8448D">
        <w:rPr>
          <w:rFonts w:ascii="Book Antiqua" w:hAnsi="Book Antiqua"/>
          <w:sz w:val="24"/>
          <w:szCs w:val="24"/>
        </w:rPr>
        <w:t xml:space="preserve"> versehen ist.</w:t>
      </w:r>
    </w:p>
    <w:p w:rsidR="00F61E1E" w:rsidRPr="00E8448D" w:rsidRDefault="00F61E1E" w:rsidP="001B30EA">
      <w:pPr>
        <w:spacing w:line="276" w:lineRule="auto"/>
        <w:jc w:val="both"/>
        <w:rPr>
          <w:rFonts w:ascii="Book Antiqua" w:hAnsi="Book Antiqua"/>
          <w:sz w:val="24"/>
          <w:szCs w:val="24"/>
        </w:rPr>
      </w:pPr>
      <w:r w:rsidRPr="00E8448D">
        <w:rPr>
          <w:rFonts w:ascii="Book Antiqua" w:hAnsi="Book Antiqua"/>
          <w:sz w:val="24"/>
          <w:szCs w:val="24"/>
        </w:rPr>
        <w:t>Da die wenigsten Versicherungsnehmer in der Lage sind ein elektronisches Dokument mit einer qualifizierten Signatur zu versehen, kann diesseits nur empfohlen werden</w:t>
      </w:r>
      <w:r w:rsidR="006D28F5" w:rsidRPr="00E8448D">
        <w:rPr>
          <w:rFonts w:ascii="Book Antiqua" w:hAnsi="Book Antiqua"/>
          <w:sz w:val="24"/>
          <w:szCs w:val="24"/>
        </w:rPr>
        <w:t xml:space="preserve"> sich eine unterschriebene Originalvollmacht </w:t>
      </w:r>
      <w:r w:rsidR="00892ECE" w:rsidRPr="00E8448D">
        <w:rPr>
          <w:rFonts w:ascii="Book Antiqua" w:hAnsi="Book Antiqua"/>
          <w:sz w:val="24"/>
          <w:szCs w:val="24"/>
        </w:rPr>
        <w:t>per Post schicken zu lassen.</w:t>
      </w:r>
    </w:p>
    <w:p w:rsidR="007C6F6A" w:rsidRPr="00E8448D" w:rsidRDefault="00892ECE" w:rsidP="001B30EA">
      <w:pPr>
        <w:spacing w:line="276" w:lineRule="auto"/>
        <w:jc w:val="both"/>
        <w:rPr>
          <w:rFonts w:ascii="Book Antiqua" w:hAnsi="Book Antiqua"/>
          <w:sz w:val="24"/>
          <w:szCs w:val="24"/>
        </w:rPr>
      </w:pPr>
      <w:r w:rsidRPr="00E8448D">
        <w:rPr>
          <w:rFonts w:ascii="Book Antiqua" w:hAnsi="Book Antiqua"/>
          <w:sz w:val="24"/>
          <w:szCs w:val="24"/>
        </w:rPr>
        <w:t xml:space="preserve">Die Folgen einer </w:t>
      </w:r>
      <w:r w:rsidR="00FC04EA" w:rsidRPr="00E8448D">
        <w:rPr>
          <w:rFonts w:ascii="Book Antiqua" w:hAnsi="Book Antiqua"/>
          <w:sz w:val="24"/>
          <w:szCs w:val="24"/>
        </w:rPr>
        <w:t xml:space="preserve">unverzüglichen </w:t>
      </w:r>
      <w:r w:rsidRPr="00E8448D">
        <w:rPr>
          <w:rFonts w:ascii="Book Antiqua" w:hAnsi="Book Antiqua"/>
          <w:sz w:val="24"/>
          <w:szCs w:val="24"/>
        </w:rPr>
        <w:t xml:space="preserve">Zurückweisung seitens des Versicherers können schwerwiegend sein. Wenn gleich die fehlende Vorlage der Originalvollmacht beim Abschluss des Versicherungsvertrages keine allzu großen Bedenken beim Versicherer auslösen wird, wird im Falle der Kündigung der Versicherer die Kündigung ohne </w:t>
      </w:r>
      <w:proofErr w:type="spellStart"/>
      <w:r w:rsidRPr="00E8448D">
        <w:rPr>
          <w:rFonts w:ascii="Book Antiqua" w:hAnsi="Book Antiqua"/>
          <w:sz w:val="24"/>
          <w:szCs w:val="24"/>
        </w:rPr>
        <w:t>Originalvollmachtsurkunde</w:t>
      </w:r>
      <w:proofErr w:type="spellEnd"/>
      <w:r w:rsidRPr="00E8448D">
        <w:rPr>
          <w:rFonts w:ascii="Book Antiqua" w:hAnsi="Book Antiqua"/>
          <w:sz w:val="24"/>
          <w:szCs w:val="24"/>
        </w:rPr>
        <w:t xml:space="preserve"> gem. § 172 BGB </w:t>
      </w:r>
      <w:r w:rsidR="00FC04EA" w:rsidRPr="00E8448D">
        <w:rPr>
          <w:rFonts w:ascii="Book Antiqua" w:hAnsi="Book Antiqua"/>
          <w:sz w:val="24"/>
          <w:szCs w:val="24"/>
        </w:rPr>
        <w:t xml:space="preserve">manchmal </w:t>
      </w:r>
      <w:r w:rsidRPr="00E8448D">
        <w:rPr>
          <w:rFonts w:ascii="Book Antiqua" w:hAnsi="Book Antiqua"/>
          <w:sz w:val="24"/>
          <w:szCs w:val="24"/>
        </w:rPr>
        <w:t>zurückweisen.</w:t>
      </w:r>
      <w:r w:rsidR="00246922" w:rsidRPr="00E8448D">
        <w:rPr>
          <w:rFonts w:ascii="Book Antiqua" w:hAnsi="Book Antiqua"/>
          <w:sz w:val="24"/>
          <w:szCs w:val="24"/>
        </w:rPr>
        <w:t xml:space="preserve"> Dies wiederum hat zur Folge, dass die Kündigung </w:t>
      </w:r>
      <w:r w:rsidR="00E92740" w:rsidRPr="00E8448D">
        <w:rPr>
          <w:rFonts w:ascii="Book Antiqua" w:hAnsi="Book Antiqua"/>
          <w:sz w:val="24"/>
          <w:szCs w:val="24"/>
        </w:rPr>
        <w:t xml:space="preserve">(meist kurz vor Fristablauf) </w:t>
      </w:r>
      <w:r w:rsidR="00246922" w:rsidRPr="00E8448D">
        <w:rPr>
          <w:rFonts w:ascii="Book Antiqua" w:hAnsi="Book Antiqua"/>
          <w:sz w:val="24"/>
          <w:szCs w:val="24"/>
        </w:rPr>
        <w:t>nicht wirksam ist und der Versicherungsnehmer ggf. die Kündigungsfrist verpasst hat</w:t>
      </w:r>
      <w:r w:rsidR="00E92740" w:rsidRPr="00E8448D">
        <w:rPr>
          <w:rFonts w:ascii="Book Antiqua" w:hAnsi="Book Antiqua"/>
          <w:sz w:val="24"/>
          <w:szCs w:val="24"/>
        </w:rPr>
        <w:t>, wenn erst nach Ablauf der Kündigungsfrist das Original der Vollmacht vorgelegt werden kann</w:t>
      </w:r>
      <w:r w:rsidR="00246922" w:rsidRPr="00E8448D">
        <w:rPr>
          <w:rFonts w:ascii="Book Antiqua" w:hAnsi="Book Antiqua"/>
          <w:sz w:val="24"/>
          <w:szCs w:val="24"/>
        </w:rPr>
        <w:t>. Somit läuft der Vertrag weiter und dieser ist vom Versicherungsnehmer zu bezahlen. Gleichzeitig wird der verständige Versicherungsmakler für den Versicherungsnehmer schon</w:t>
      </w:r>
      <w:r w:rsidR="00901BB6" w:rsidRPr="00E8448D">
        <w:rPr>
          <w:rFonts w:ascii="Book Antiqua" w:hAnsi="Book Antiqua"/>
          <w:sz w:val="24"/>
          <w:szCs w:val="24"/>
        </w:rPr>
        <w:t xml:space="preserve"> einen Neuvertrag </w:t>
      </w:r>
      <w:r w:rsidR="00901BB6" w:rsidRPr="00E8448D">
        <w:rPr>
          <w:rFonts w:ascii="Book Antiqua" w:hAnsi="Book Antiqua"/>
          <w:sz w:val="24"/>
          <w:szCs w:val="24"/>
        </w:rPr>
        <w:lastRenderedPageBreak/>
        <w:t>abgeschlossen</w:t>
      </w:r>
      <w:r w:rsidR="00F02C24" w:rsidRPr="00E8448D">
        <w:rPr>
          <w:rFonts w:ascii="Book Antiqua" w:hAnsi="Book Antiqua"/>
          <w:sz w:val="24"/>
          <w:szCs w:val="24"/>
        </w:rPr>
        <w:t xml:space="preserve"> haben</w:t>
      </w:r>
      <w:r w:rsidR="00901BB6" w:rsidRPr="00E8448D">
        <w:rPr>
          <w:rFonts w:ascii="Book Antiqua" w:hAnsi="Book Antiqua"/>
          <w:sz w:val="24"/>
          <w:szCs w:val="24"/>
        </w:rPr>
        <w:t>. Der Versicherungsnehmer befindet sich nun in einer Situation, in welcher er zwei Mal eine Versicherungsprämie</w:t>
      </w:r>
      <w:r w:rsidR="00E92740" w:rsidRPr="00E8448D">
        <w:rPr>
          <w:rFonts w:ascii="Book Antiqua" w:hAnsi="Book Antiqua"/>
          <w:sz w:val="24"/>
          <w:szCs w:val="24"/>
        </w:rPr>
        <w:t xml:space="preserve"> für das gleiche Risiko</w:t>
      </w:r>
      <w:r w:rsidR="00901BB6" w:rsidRPr="00E8448D">
        <w:rPr>
          <w:rFonts w:ascii="Book Antiqua" w:hAnsi="Book Antiqua"/>
          <w:sz w:val="24"/>
          <w:szCs w:val="24"/>
        </w:rPr>
        <w:t xml:space="preserve"> bezahlen muss. Da der Versicherungsnehmer dies nicht akzeptieren </w:t>
      </w:r>
      <w:proofErr w:type="gramStart"/>
      <w:r w:rsidR="00901BB6" w:rsidRPr="00E8448D">
        <w:rPr>
          <w:rFonts w:ascii="Book Antiqua" w:hAnsi="Book Antiqua"/>
          <w:sz w:val="24"/>
          <w:szCs w:val="24"/>
        </w:rPr>
        <w:t>werden</w:t>
      </w:r>
      <w:proofErr w:type="gramEnd"/>
      <w:r w:rsidR="00901BB6" w:rsidRPr="00E8448D">
        <w:rPr>
          <w:rFonts w:ascii="Book Antiqua" w:hAnsi="Book Antiqua"/>
          <w:sz w:val="24"/>
          <w:szCs w:val="24"/>
        </w:rPr>
        <w:t>, wird er Sie als Makler</w:t>
      </w:r>
      <w:r w:rsidR="00E92740" w:rsidRPr="00E8448D">
        <w:rPr>
          <w:rFonts w:ascii="Book Antiqua" w:hAnsi="Book Antiqua"/>
          <w:sz w:val="24"/>
          <w:szCs w:val="24"/>
        </w:rPr>
        <w:t xml:space="preserve"> für diesen Prämienschaden</w:t>
      </w:r>
      <w:r w:rsidR="00901BB6" w:rsidRPr="00E8448D">
        <w:rPr>
          <w:rFonts w:ascii="Book Antiqua" w:hAnsi="Book Antiqua"/>
          <w:sz w:val="24"/>
          <w:szCs w:val="24"/>
        </w:rPr>
        <w:t xml:space="preserve"> in die Haftung nehmen. Bei Jahresprämien von mehreren Tausenden Euros, kann die</w:t>
      </w:r>
      <w:r w:rsidR="00E92740" w:rsidRPr="00E8448D">
        <w:rPr>
          <w:rFonts w:ascii="Book Antiqua" w:hAnsi="Book Antiqua"/>
          <w:sz w:val="24"/>
          <w:szCs w:val="24"/>
        </w:rPr>
        <w:t>se</w:t>
      </w:r>
      <w:r w:rsidR="00901BB6" w:rsidRPr="00E8448D">
        <w:rPr>
          <w:rFonts w:ascii="Book Antiqua" w:hAnsi="Book Antiqua"/>
          <w:sz w:val="24"/>
          <w:szCs w:val="24"/>
        </w:rPr>
        <w:t xml:space="preserve"> Haftung weitreichend sein.</w:t>
      </w:r>
      <w:r w:rsidR="002D1E5A" w:rsidRPr="00E8448D">
        <w:rPr>
          <w:rFonts w:ascii="Book Antiqua" w:hAnsi="Book Antiqua"/>
          <w:sz w:val="24"/>
          <w:szCs w:val="24"/>
        </w:rPr>
        <w:t xml:space="preserve"> </w:t>
      </w:r>
    </w:p>
    <w:p w:rsidR="002576C9" w:rsidRPr="00E8448D" w:rsidRDefault="002D1E5A" w:rsidP="001B30EA">
      <w:pPr>
        <w:spacing w:line="276" w:lineRule="auto"/>
        <w:jc w:val="both"/>
        <w:rPr>
          <w:rFonts w:ascii="Book Antiqua" w:hAnsi="Book Antiqua"/>
          <w:sz w:val="24"/>
          <w:szCs w:val="24"/>
        </w:rPr>
      </w:pPr>
      <w:r w:rsidRPr="00E8448D">
        <w:rPr>
          <w:rFonts w:ascii="Book Antiqua" w:hAnsi="Book Antiqua"/>
          <w:sz w:val="24"/>
          <w:szCs w:val="24"/>
        </w:rPr>
        <w:t>Arbeiten Sie</w:t>
      </w:r>
      <w:r w:rsidR="00E92740" w:rsidRPr="00E8448D">
        <w:rPr>
          <w:rFonts w:ascii="Book Antiqua" w:hAnsi="Book Antiqua"/>
          <w:sz w:val="24"/>
          <w:szCs w:val="24"/>
        </w:rPr>
        <w:t xml:space="preserve"> bei Kündigungen in letzter Minute</w:t>
      </w:r>
      <w:r w:rsidRPr="00E8448D">
        <w:rPr>
          <w:rFonts w:ascii="Book Antiqua" w:hAnsi="Book Antiqua"/>
          <w:sz w:val="24"/>
          <w:szCs w:val="24"/>
        </w:rPr>
        <w:t xml:space="preserve"> also immer mit unterschriebener Originalvollmacht!</w:t>
      </w:r>
      <w:r w:rsidR="007C6F6A" w:rsidRPr="00E8448D">
        <w:rPr>
          <w:rFonts w:ascii="Book Antiqua" w:hAnsi="Book Antiqua"/>
          <w:sz w:val="24"/>
          <w:szCs w:val="24"/>
        </w:rPr>
        <w:t xml:space="preserve"> Darüber hinaus sollten Sie Ihren Kunden darüber aufklären, dass für Neuverträge ab Oktober 2016 die Möglichkeit besteht</w:t>
      </w:r>
      <w:r w:rsidR="00E92740" w:rsidRPr="00E8448D">
        <w:rPr>
          <w:rFonts w:ascii="Book Antiqua" w:hAnsi="Book Antiqua"/>
          <w:sz w:val="24"/>
          <w:szCs w:val="24"/>
        </w:rPr>
        <w:t>,</w:t>
      </w:r>
      <w:r w:rsidR="007C6F6A" w:rsidRPr="00E8448D">
        <w:rPr>
          <w:rFonts w:ascii="Book Antiqua" w:hAnsi="Book Antiqua"/>
          <w:sz w:val="24"/>
          <w:szCs w:val="24"/>
        </w:rPr>
        <w:t xml:space="preserve"> diese auch</w:t>
      </w:r>
      <w:r w:rsidR="00FC04EA" w:rsidRPr="00E8448D">
        <w:rPr>
          <w:rFonts w:ascii="Book Antiqua" w:hAnsi="Book Antiqua"/>
          <w:sz w:val="24"/>
          <w:szCs w:val="24"/>
        </w:rPr>
        <w:t xml:space="preserve"> durch den Kunden</w:t>
      </w:r>
      <w:r w:rsidR="007C6F6A" w:rsidRPr="00E8448D">
        <w:rPr>
          <w:rFonts w:ascii="Book Antiqua" w:hAnsi="Book Antiqua"/>
          <w:sz w:val="24"/>
          <w:szCs w:val="24"/>
        </w:rPr>
        <w:t xml:space="preserve"> per E-Mail zu kündigen. Darauf sollte in jedem Fall hi</w:t>
      </w:r>
      <w:r w:rsidR="00FC04EA" w:rsidRPr="00E8448D">
        <w:rPr>
          <w:rFonts w:ascii="Book Antiqua" w:hAnsi="Book Antiqua"/>
          <w:sz w:val="24"/>
          <w:szCs w:val="24"/>
        </w:rPr>
        <w:t>ngewiesen werden, da die „</w:t>
      </w:r>
      <w:r w:rsidR="00E92740" w:rsidRPr="00E8448D">
        <w:rPr>
          <w:rFonts w:ascii="Book Antiqua" w:hAnsi="Book Antiqua"/>
          <w:sz w:val="24"/>
          <w:szCs w:val="24"/>
        </w:rPr>
        <w:t>Vollmacht</w:t>
      </w:r>
      <w:r w:rsidR="00FC04EA" w:rsidRPr="00E8448D">
        <w:rPr>
          <w:rFonts w:ascii="Book Antiqua" w:hAnsi="Book Antiqua"/>
          <w:sz w:val="24"/>
          <w:szCs w:val="24"/>
        </w:rPr>
        <w:t>-Falle“ für den Vertreter</w:t>
      </w:r>
      <w:r w:rsidR="00E92740" w:rsidRPr="00E8448D">
        <w:rPr>
          <w:rFonts w:ascii="Book Antiqua" w:hAnsi="Book Antiqua"/>
          <w:sz w:val="24"/>
          <w:szCs w:val="24"/>
        </w:rPr>
        <w:t>/Bevollmächtigten</w:t>
      </w:r>
      <w:r w:rsidR="00FC04EA" w:rsidRPr="00E8448D">
        <w:rPr>
          <w:rFonts w:ascii="Book Antiqua" w:hAnsi="Book Antiqua"/>
          <w:sz w:val="24"/>
          <w:szCs w:val="24"/>
        </w:rPr>
        <w:t xml:space="preserve"> weiterbesteht.</w:t>
      </w:r>
    </w:p>
    <w:p w:rsidR="00E92740" w:rsidRPr="00E8448D" w:rsidRDefault="00E92740" w:rsidP="001B30EA">
      <w:pPr>
        <w:spacing w:line="276" w:lineRule="auto"/>
        <w:jc w:val="both"/>
        <w:rPr>
          <w:rFonts w:ascii="Book Antiqua" w:hAnsi="Book Antiqua"/>
          <w:sz w:val="24"/>
          <w:szCs w:val="24"/>
        </w:rPr>
      </w:pPr>
    </w:p>
    <w:p w:rsidR="007C4E0D" w:rsidRPr="00E8448D" w:rsidRDefault="007C4E0D" w:rsidP="001B30EA">
      <w:pPr>
        <w:pStyle w:val="Listenabsatz"/>
        <w:numPr>
          <w:ilvl w:val="0"/>
          <w:numId w:val="3"/>
        </w:numPr>
        <w:spacing w:line="276" w:lineRule="auto"/>
        <w:jc w:val="both"/>
        <w:rPr>
          <w:rFonts w:ascii="Book Antiqua" w:hAnsi="Book Antiqua"/>
          <w:b/>
          <w:sz w:val="24"/>
          <w:szCs w:val="24"/>
        </w:rPr>
      </w:pPr>
      <w:r w:rsidRPr="00E8448D">
        <w:rPr>
          <w:rFonts w:ascii="Book Antiqua" w:hAnsi="Book Antiqua"/>
          <w:b/>
          <w:sz w:val="24"/>
          <w:szCs w:val="24"/>
        </w:rPr>
        <w:t>Widerrufsrecht</w:t>
      </w:r>
    </w:p>
    <w:p w:rsidR="007C6F6A" w:rsidRPr="00E8448D" w:rsidRDefault="007C6F6A" w:rsidP="001B30EA">
      <w:pPr>
        <w:pStyle w:val="Listenabsatz"/>
        <w:numPr>
          <w:ilvl w:val="0"/>
          <w:numId w:val="9"/>
        </w:numPr>
        <w:spacing w:line="276" w:lineRule="auto"/>
        <w:jc w:val="both"/>
        <w:rPr>
          <w:rFonts w:ascii="Book Antiqua" w:hAnsi="Book Antiqua"/>
          <w:b/>
          <w:sz w:val="24"/>
          <w:szCs w:val="24"/>
        </w:rPr>
      </w:pPr>
      <w:r w:rsidRPr="00E8448D">
        <w:rPr>
          <w:rFonts w:ascii="Book Antiqua" w:hAnsi="Book Antiqua"/>
          <w:b/>
          <w:sz w:val="24"/>
          <w:szCs w:val="24"/>
        </w:rPr>
        <w:t>Maklervertrag</w:t>
      </w:r>
    </w:p>
    <w:p w:rsidR="0017198D" w:rsidRPr="00E8448D" w:rsidRDefault="0017198D" w:rsidP="001B30EA">
      <w:pPr>
        <w:spacing w:line="276" w:lineRule="auto"/>
        <w:jc w:val="both"/>
        <w:rPr>
          <w:rFonts w:ascii="Book Antiqua" w:hAnsi="Book Antiqua"/>
          <w:sz w:val="24"/>
          <w:szCs w:val="24"/>
        </w:rPr>
      </w:pPr>
      <w:r w:rsidRPr="00E8448D">
        <w:rPr>
          <w:rFonts w:ascii="Book Antiqua" w:hAnsi="Book Antiqua"/>
          <w:sz w:val="24"/>
          <w:szCs w:val="24"/>
        </w:rPr>
        <w:t xml:space="preserve">Es ist darüber hinaus auch unbedingt zu beachten, dass wenn ein Maklervertrag ausschließlich über Fernkommunikationsmittel geschlossen wurde, dieser </w:t>
      </w:r>
      <w:r w:rsidRPr="00E8448D">
        <w:rPr>
          <w:rFonts w:ascii="Book Antiqua" w:hAnsi="Book Antiqua"/>
          <w:sz w:val="24"/>
          <w:szCs w:val="24"/>
          <w:u w:val="single"/>
        </w:rPr>
        <w:t>grundsätzlich eine Widerrufsfrist von 14 Tagen</w:t>
      </w:r>
      <w:r w:rsidRPr="00E8448D">
        <w:rPr>
          <w:rFonts w:ascii="Book Antiqua" w:hAnsi="Book Antiqua"/>
          <w:sz w:val="24"/>
          <w:szCs w:val="24"/>
        </w:rPr>
        <w:t xml:space="preserve"> hat. Dies ist bei den meisten Marktteilnehmern </w:t>
      </w:r>
      <w:r w:rsidR="00DE1028" w:rsidRPr="00E8448D">
        <w:rPr>
          <w:rFonts w:ascii="Book Antiqua" w:hAnsi="Book Antiqua"/>
          <w:sz w:val="24"/>
          <w:szCs w:val="24"/>
        </w:rPr>
        <w:t xml:space="preserve">wohl derzeit </w:t>
      </w:r>
      <w:r w:rsidRPr="00E8448D">
        <w:rPr>
          <w:rFonts w:ascii="Book Antiqua" w:hAnsi="Book Antiqua"/>
          <w:sz w:val="24"/>
          <w:szCs w:val="24"/>
        </w:rPr>
        <w:t>nicht der Fall.</w:t>
      </w:r>
    </w:p>
    <w:p w:rsidR="0017198D" w:rsidRPr="00E8448D" w:rsidRDefault="0017198D" w:rsidP="001B30EA">
      <w:pPr>
        <w:spacing w:line="276" w:lineRule="auto"/>
        <w:jc w:val="both"/>
        <w:rPr>
          <w:rFonts w:ascii="Book Antiqua" w:hAnsi="Book Antiqua"/>
          <w:sz w:val="24"/>
          <w:szCs w:val="24"/>
        </w:rPr>
      </w:pPr>
      <w:r w:rsidRPr="00E8448D">
        <w:rPr>
          <w:rFonts w:ascii="Book Antiqua" w:hAnsi="Book Antiqua"/>
          <w:sz w:val="24"/>
          <w:szCs w:val="24"/>
        </w:rPr>
        <w:t xml:space="preserve">Da es nun dazu kommen könnte, dass Sie in dieser Zeit bereits viel Arbeit investieren und der Kunde am Tag des Ablaufes der Widerrufsfrist den Vertrag mit Ihren widerruft, gibt es gem. § 356 Abs. 5 BGB die Möglichkeit, das Widerrufsrecht erlöschen zu lassen. </w:t>
      </w:r>
    </w:p>
    <w:p w:rsidR="007C4E0D"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Damit das Widerrufrecht erlischt, müssen drei Voraussetzungen erfüllt sein. </w:t>
      </w:r>
    </w:p>
    <w:p w:rsidR="007C4E0D"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Erstens müssen Sie schon „mit der Ausführung“ </w:t>
      </w:r>
      <w:proofErr w:type="gramStart"/>
      <w:r w:rsidRPr="00E8448D">
        <w:rPr>
          <w:rFonts w:ascii="Book Antiqua" w:hAnsi="Book Antiqua"/>
          <w:sz w:val="24"/>
          <w:szCs w:val="24"/>
        </w:rPr>
        <w:t>des Vertrages</w:t>
      </w:r>
      <w:proofErr w:type="gramEnd"/>
      <w:r w:rsidRPr="00E8448D">
        <w:rPr>
          <w:rFonts w:ascii="Book Antiqua" w:hAnsi="Book Antiqua"/>
          <w:sz w:val="24"/>
          <w:szCs w:val="24"/>
        </w:rPr>
        <w:t xml:space="preserve"> begonnen haben. Das bedeutet, dass Sie zumindest schon einen Teil der von Ihnen verlangten Leistung erbracht haben.</w:t>
      </w:r>
    </w:p>
    <w:p w:rsidR="007C4E0D"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Zweitens muss der Versicherungsnehmer ausdrücklich zugestimmt haben, dass der Unternehmer schon vor Ablauf der Widerrufsfrist mit der Ausführung des Vertrages beginnt. </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Des Weiteren muss der Versicherungsnehmer auch bestätigen, dass er Kenntnis davon hat, dass bei einem vorzeitigen Beginn der Ausführungen des Vertrages der Versicherungsnehmer sein Widerrufsrecht verlieren wird.</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Von dieser Möglichkeit sollte unbedingt Gebrauch gemacht werden, da andernfalls böse Überraschungen </w:t>
      </w:r>
      <w:r w:rsidR="007C4E0D" w:rsidRPr="00E8448D">
        <w:rPr>
          <w:rFonts w:ascii="Book Antiqua" w:hAnsi="Book Antiqua"/>
          <w:sz w:val="24"/>
          <w:szCs w:val="24"/>
        </w:rPr>
        <w:t>drohen können und der Maklervertrag rückwirkend „entfällt“.</w:t>
      </w:r>
      <w:r w:rsidR="002D1E5A" w:rsidRPr="00E8448D">
        <w:rPr>
          <w:rFonts w:ascii="Book Antiqua" w:hAnsi="Book Antiqua"/>
          <w:sz w:val="24"/>
          <w:szCs w:val="24"/>
        </w:rPr>
        <w:t xml:space="preserve"> Dies hätte zur Folge, dass Provisionen nicht geschuldet werden.</w:t>
      </w:r>
    </w:p>
    <w:p w:rsidR="007C4E0D" w:rsidRPr="00E8448D" w:rsidRDefault="007C4E0D" w:rsidP="001B30EA">
      <w:pPr>
        <w:spacing w:line="276" w:lineRule="auto"/>
        <w:jc w:val="both"/>
        <w:rPr>
          <w:rFonts w:ascii="Book Antiqua" w:hAnsi="Book Antiqua"/>
          <w:b/>
          <w:sz w:val="24"/>
          <w:szCs w:val="24"/>
        </w:rPr>
      </w:pPr>
      <w:r w:rsidRPr="00E8448D">
        <w:rPr>
          <w:rFonts w:ascii="Book Antiqua" w:hAnsi="Book Antiqua"/>
          <w:sz w:val="24"/>
          <w:szCs w:val="24"/>
        </w:rPr>
        <w:lastRenderedPageBreak/>
        <w:t>Als Anlage finden Sie eine Muster-Widerrufsbelehrung.</w:t>
      </w:r>
      <w:r w:rsidRPr="00E8448D">
        <w:rPr>
          <w:rFonts w:ascii="Book Antiqua" w:hAnsi="Book Antiqua"/>
          <w:b/>
          <w:sz w:val="24"/>
          <w:szCs w:val="24"/>
        </w:rPr>
        <w:t xml:space="preserve"> </w:t>
      </w:r>
    </w:p>
    <w:p w:rsidR="00DE1028" w:rsidRPr="00E8448D" w:rsidRDefault="00DE1028" w:rsidP="001B30EA">
      <w:pPr>
        <w:spacing w:line="276" w:lineRule="auto"/>
        <w:jc w:val="both"/>
        <w:rPr>
          <w:rFonts w:ascii="Book Antiqua" w:hAnsi="Book Antiqua"/>
          <w:b/>
          <w:sz w:val="24"/>
          <w:szCs w:val="24"/>
        </w:rPr>
      </w:pPr>
    </w:p>
    <w:p w:rsidR="007C6F6A" w:rsidRPr="00E8448D" w:rsidRDefault="007C6F6A" w:rsidP="001B30EA">
      <w:pPr>
        <w:pStyle w:val="Listenabsatz"/>
        <w:numPr>
          <w:ilvl w:val="0"/>
          <w:numId w:val="9"/>
        </w:numPr>
        <w:spacing w:line="276" w:lineRule="auto"/>
        <w:jc w:val="both"/>
        <w:rPr>
          <w:rFonts w:ascii="Book Antiqua" w:hAnsi="Book Antiqua"/>
          <w:b/>
          <w:sz w:val="24"/>
          <w:szCs w:val="24"/>
        </w:rPr>
      </w:pPr>
      <w:r w:rsidRPr="00E8448D">
        <w:rPr>
          <w:rFonts w:ascii="Book Antiqua" w:hAnsi="Book Antiqua"/>
          <w:b/>
          <w:sz w:val="24"/>
          <w:szCs w:val="24"/>
        </w:rPr>
        <w:t>Versicherungsvertrag</w:t>
      </w:r>
    </w:p>
    <w:p w:rsidR="00135086" w:rsidRPr="00E8448D" w:rsidRDefault="00A63D9B" w:rsidP="001B30EA">
      <w:pPr>
        <w:spacing w:line="276" w:lineRule="auto"/>
        <w:jc w:val="both"/>
        <w:rPr>
          <w:rFonts w:ascii="Book Antiqua" w:hAnsi="Book Antiqua"/>
          <w:sz w:val="24"/>
          <w:szCs w:val="24"/>
        </w:rPr>
      </w:pPr>
      <w:r w:rsidRPr="00E8448D">
        <w:rPr>
          <w:rFonts w:ascii="Book Antiqua" w:hAnsi="Book Antiqua"/>
          <w:sz w:val="24"/>
          <w:szCs w:val="24"/>
        </w:rPr>
        <w:t>An dieser Stelle sei auch noch einmal darauf hingewiesen, dass dem Versicherungsnehmer gem. § 8 VVG ein Widerrufsrecht für den Versicherungsvertrag zusteht. Dies ist unabhängig von der Form des Vertragsschlusses. § 8 Abs. 4 VVG beginnt die Widerrufsfrist nicht vor Erfüllung der in § 312i BGB geregelten Pflichten.</w:t>
      </w:r>
    </w:p>
    <w:p w:rsidR="0070102F" w:rsidRPr="00E8448D" w:rsidRDefault="00A63D9B" w:rsidP="001B30EA">
      <w:pPr>
        <w:spacing w:line="276" w:lineRule="auto"/>
        <w:jc w:val="both"/>
        <w:rPr>
          <w:rFonts w:ascii="Book Antiqua" w:hAnsi="Book Antiqua"/>
          <w:sz w:val="24"/>
          <w:szCs w:val="24"/>
        </w:rPr>
      </w:pPr>
      <w:r w:rsidRPr="00E8448D">
        <w:rPr>
          <w:rFonts w:ascii="Book Antiqua" w:hAnsi="Book Antiqua"/>
          <w:sz w:val="24"/>
          <w:szCs w:val="24"/>
        </w:rPr>
        <w:t xml:space="preserve"> </w:t>
      </w:r>
    </w:p>
    <w:p w:rsidR="0070102F" w:rsidRPr="00E8448D" w:rsidRDefault="0070102F" w:rsidP="001B30EA">
      <w:pPr>
        <w:pStyle w:val="Listenabsatz"/>
        <w:numPr>
          <w:ilvl w:val="0"/>
          <w:numId w:val="1"/>
        </w:numPr>
        <w:spacing w:line="276" w:lineRule="auto"/>
        <w:jc w:val="both"/>
        <w:rPr>
          <w:rFonts w:ascii="Book Antiqua" w:hAnsi="Book Antiqua"/>
          <w:b/>
          <w:sz w:val="24"/>
          <w:szCs w:val="24"/>
        </w:rPr>
      </w:pPr>
      <w:r w:rsidRPr="00E8448D">
        <w:rPr>
          <w:rFonts w:ascii="Book Antiqua" w:hAnsi="Book Antiqua"/>
          <w:b/>
          <w:sz w:val="24"/>
          <w:szCs w:val="24"/>
        </w:rPr>
        <w:t>Beratungsprozess</w:t>
      </w:r>
    </w:p>
    <w:p w:rsidR="002576C9" w:rsidRPr="00E8448D" w:rsidRDefault="002576C9" w:rsidP="001B30EA">
      <w:pPr>
        <w:pStyle w:val="Listenabsatz"/>
        <w:spacing w:line="276" w:lineRule="auto"/>
        <w:ind w:left="1080"/>
        <w:jc w:val="both"/>
        <w:rPr>
          <w:rFonts w:ascii="Book Antiqua" w:hAnsi="Book Antiqua"/>
          <w:b/>
          <w:sz w:val="24"/>
          <w:szCs w:val="24"/>
        </w:rPr>
      </w:pPr>
    </w:p>
    <w:p w:rsidR="002576C9"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Der Beratungsprozess kann eben so recht frei gestaltet werden. Dabei kann der Versicherungsmakler in Abstimmung mit seinem Kunden die </w:t>
      </w:r>
      <w:r w:rsidR="007C4E0D" w:rsidRPr="00E8448D">
        <w:rPr>
          <w:rFonts w:ascii="Book Antiqua" w:hAnsi="Book Antiqua"/>
          <w:sz w:val="24"/>
          <w:szCs w:val="24"/>
        </w:rPr>
        <w:t>„</w:t>
      </w:r>
      <w:r w:rsidRPr="00E8448D">
        <w:rPr>
          <w:rFonts w:ascii="Book Antiqua" w:hAnsi="Book Antiqua"/>
          <w:sz w:val="24"/>
          <w:szCs w:val="24"/>
        </w:rPr>
        <w:t>Art der Beratung</w:t>
      </w:r>
      <w:r w:rsidR="007C4E0D" w:rsidRPr="00E8448D">
        <w:rPr>
          <w:rFonts w:ascii="Book Antiqua" w:hAnsi="Book Antiqua"/>
          <w:sz w:val="24"/>
          <w:szCs w:val="24"/>
        </w:rPr>
        <w:t>“</w:t>
      </w:r>
      <w:r w:rsidRPr="00E8448D">
        <w:rPr>
          <w:rFonts w:ascii="Book Antiqua" w:hAnsi="Book Antiqua"/>
          <w:sz w:val="24"/>
          <w:szCs w:val="24"/>
        </w:rPr>
        <w:t xml:space="preserve"> festlegen.</w:t>
      </w:r>
    </w:p>
    <w:p w:rsidR="001274BB" w:rsidRPr="00E8448D" w:rsidRDefault="001274BB"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4"/>
        </w:numPr>
        <w:spacing w:line="276" w:lineRule="auto"/>
        <w:jc w:val="both"/>
        <w:rPr>
          <w:rFonts w:ascii="Book Antiqua" w:hAnsi="Book Antiqua"/>
          <w:b/>
          <w:sz w:val="24"/>
          <w:szCs w:val="24"/>
        </w:rPr>
      </w:pPr>
      <w:r w:rsidRPr="00E8448D">
        <w:rPr>
          <w:rFonts w:ascii="Book Antiqua" w:hAnsi="Book Antiqua"/>
          <w:b/>
          <w:sz w:val="24"/>
          <w:szCs w:val="24"/>
        </w:rPr>
        <w:t>Beratungsnotwendigkeit</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Immer wieder wird diskutiert, ob bei der Online-Vermittlung durch den Makler eine Beratung überhaupt stattfinden muss. Diese Diskussion tritt auf Grund von § 6 Abs. 6 VVG auf. Gem. § 6 Abs. 6 VVG ist ein Versicherungsunternehmen</w:t>
      </w:r>
      <w:r w:rsidR="007C4E0D" w:rsidRPr="00E8448D">
        <w:rPr>
          <w:rFonts w:ascii="Book Antiqua" w:hAnsi="Book Antiqua"/>
          <w:sz w:val="24"/>
          <w:szCs w:val="24"/>
        </w:rPr>
        <w:t xml:space="preserve"> (noch, vgl. IDD)</w:t>
      </w:r>
      <w:r w:rsidRPr="00E8448D">
        <w:rPr>
          <w:rFonts w:ascii="Book Antiqua" w:hAnsi="Book Antiqua"/>
          <w:color w:val="FF0000"/>
          <w:sz w:val="24"/>
          <w:szCs w:val="24"/>
        </w:rPr>
        <w:t xml:space="preserve"> </w:t>
      </w:r>
      <w:r w:rsidRPr="00E8448D">
        <w:rPr>
          <w:rFonts w:ascii="Book Antiqua" w:hAnsi="Book Antiqua"/>
          <w:sz w:val="24"/>
          <w:szCs w:val="24"/>
        </w:rPr>
        <w:t>von der Beratungspflicht nach § 6 Abs. 1 VVG befreit.</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Die Bereichsausnahme für Fernabsatzverträge wurde erst im Stadium des Regierungsentwurfs mit der Begründung eingefügt, dass bei ausschließlicher Verwendung von Fernkommunikationsmitteln die Befragungs- und Beratungspflicht praktisch nicht erfüllt werden könne. Ein VN, der einen Vertrag im Fernabsatz schließt, sei sich zudem bewusst, dass er lediglich die Standardinformationen erhalten wird, eine Beratung aber nur, wenn er ein Bedürfnis hierfür gegenüber dem Versicherer, z. B. durch entsprechende Fragen, zum Ausdruck bringe. Es bestehe daher kein Vertrauen in eine umfangreiche Beratung. Stets eine Verzichtserklärung gem. § 6 Abs. 3 VVG einzuholen, widerspreche regelmäßig den Besonderheiten solcher Vertriebssysteme und der Interessenlage des VN (</w:t>
      </w:r>
      <w:proofErr w:type="spellStart"/>
      <w:r w:rsidRPr="00E8448D">
        <w:rPr>
          <w:rFonts w:ascii="Book Antiqua" w:hAnsi="Book Antiqua"/>
          <w:sz w:val="24"/>
          <w:szCs w:val="24"/>
        </w:rPr>
        <w:t>Langheid</w:t>
      </w:r>
      <w:proofErr w:type="spellEnd"/>
      <w:r w:rsidRPr="00E8448D">
        <w:rPr>
          <w:rFonts w:ascii="Book Antiqua" w:hAnsi="Book Antiqua"/>
          <w:sz w:val="24"/>
          <w:szCs w:val="24"/>
        </w:rPr>
        <w:t>/</w:t>
      </w:r>
      <w:proofErr w:type="spellStart"/>
      <w:r w:rsidRPr="00E8448D">
        <w:rPr>
          <w:rFonts w:ascii="Book Antiqua" w:hAnsi="Book Antiqua"/>
          <w:sz w:val="24"/>
          <w:szCs w:val="24"/>
        </w:rPr>
        <w:t>Wandt</w:t>
      </w:r>
      <w:proofErr w:type="spellEnd"/>
      <w:r w:rsidRPr="00E8448D">
        <w:rPr>
          <w:rFonts w:ascii="Book Antiqua" w:hAnsi="Book Antiqua"/>
          <w:sz w:val="24"/>
          <w:szCs w:val="24"/>
        </w:rPr>
        <w:t xml:space="preserve">, </w:t>
      </w:r>
      <w:proofErr w:type="spellStart"/>
      <w:r w:rsidRPr="00E8448D">
        <w:rPr>
          <w:rFonts w:ascii="Book Antiqua" w:hAnsi="Book Antiqua"/>
          <w:sz w:val="24"/>
          <w:szCs w:val="24"/>
        </w:rPr>
        <w:t>Armbrüster</w:t>
      </w:r>
      <w:proofErr w:type="spellEnd"/>
      <w:r w:rsidRPr="00E8448D">
        <w:rPr>
          <w:rFonts w:ascii="Book Antiqua" w:hAnsi="Book Antiqua"/>
          <w:sz w:val="24"/>
          <w:szCs w:val="24"/>
        </w:rPr>
        <w:t xml:space="preserve"> VVG § 6 </w:t>
      </w:r>
      <w:proofErr w:type="spellStart"/>
      <w:r w:rsidRPr="00E8448D">
        <w:rPr>
          <w:rFonts w:ascii="Book Antiqua" w:hAnsi="Book Antiqua"/>
          <w:sz w:val="24"/>
          <w:szCs w:val="24"/>
        </w:rPr>
        <w:t>Rn</w:t>
      </w:r>
      <w:proofErr w:type="spellEnd"/>
      <w:r w:rsidRPr="00E8448D">
        <w:rPr>
          <w:rFonts w:ascii="Book Antiqua" w:hAnsi="Book Antiqua"/>
          <w:sz w:val="24"/>
          <w:szCs w:val="24"/>
        </w:rPr>
        <w:t>. 353).</w:t>
      </w:r>
      <w:r w:rsidRPr="00E8448D">
        <w:rPr>
          <w:rFonts w:ascii="Book Antiqua" w:hAnsi="Book Antiqua"/>
          <w:sz w:val="24"/>
          <w:szCs w:val="24"/>
        </w:rPr>
        <w:tab/>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Eine mit § 6 Abs. 6 VVG vergleichbare Regelung findet sich hingegen in den für die Versicherungsvermittler maßgebenden Normen der § 61 ff. VVG nicht. Eben jene Begründung lässt sich jedoch eins zu eins auf die Interessenlage zwischen </w:t>
      </w:r>
      <w:r w:rsidRPr="00E8448D">
        <w:rPr>
          <w:rFonts w:ascii="Book Antiqua" w:hAnsi="Book Antiqua"/>
          <w:sz w:val="24"/>
          <w:szCs w:val="24"/>
        </w:rPr>
        <w:lastRenderedPageBreak/>
        <w:t>Versicherungsvermittler und Versicherungsnehmer übertragen. Der Versicherungsnehmer, der bewusst das Medium „Internet“ wählt, wird nicht erwarten, dass er dabei so umfassend beraten wird, wie er bei einem persönlichen Gespräch beraten worden wäre. Der Großteil der Literatur sieht hier eine analoge Anwendung des § 6 Abs. 6 VVG auf den Versicherungsvermittler</w:t>
      </w:r>
      <w:r w:rsidR="007C4E0D" w:rsidRPr="00E8448D">
        <w:rPr>
          <w:rFonts w:ascii="Book Antiqua" w:hAnsi="Book Antiqua"/>
          <w:sz w:val="24"/>
          <w:szCs w:val="24"/>
        </w:rPr>
        <w:t xml:space="preserve"> sogar</w:t>
      </w:r>
      <w:r w:rsidRPr="00E8448D">
        <w:rPr>
          <w:rFonts w:ascii="Book Antiqua" w:hAnsi="Book Antiqua"/>
          <w:sz w:val="24"/>
          <w:szCs w:val="24"/>
        </w:rPr>
        <w:t xml:space="preserve"> als gegeben an.</w:t>
      </w:r>
    </w:p>
    <w:p w:rsidR="007C4E0D"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Anders </w:t>
      </w:r>
      <w:r w:rsidR="00E833DA" w:rsidRPr="00E8448D">
        <w:rPr>
          <w:rFonts w:ascii="Book Antiqua" w:hAnsi="Book Antiqua"/>
          <w:sz w:val="24"/>
          <w:szCs w:val="24"/>
        </w:rPr>
        <w:t>sieht</w:t>
      </w:r>
      <w:r w:rsidRPr="00E8448D">
        <w:rPr>
          <w:rFonts w:ascii="Book Antiqua" w:hAnsi="Book Antiqua"/>
          <w:sz w:val="24"/>
          <w:szCs w:val="24"/>
        </w:rPr>
        <w:t xml:space="preserve"> dies jedoch das LG München (Az. 37 O 15268/15) im „Check-24-Prozess“ sowie Teile der Literatur. Während Versicherungsunternehmen bei Vertragsabschlüssen im Fernabsatz (§ 312b BGB: Telefon-, Internetvertrieb) nach § 6 Abs. 6 wegen der dabei zu erwartenden praktischen Schwierigkeiten von den Befragungs-, Beratungs- und Dokumentationspflichten des § 6 Abs. 1 dispensiert sind, sieht § 61 </w:t>
      </w:r>
      <w:r w:rsidR="007C4E0D" w:rsidRPr="00E8448D">
        <w:rPr>
          <w:rFonts w:ascii="Book Antiqua" w:hAnsi="Book Antiqua"/>
          <w:sz w:val="24"/>
          <w:szCs w:val="24"/>
        </w:rPr>
        <w:t xml:space="preserve">VVG </w:t>
      </w:r>
      <w:r w:rsidRPr="00E8448D">
        <w:rPr>
          <w:rFonts w:ascii="Book Antiqua" w:hAnsi="Book Antiqua"/>
          <w:sz w:val="24"/>
          <w:szCs w:val="24"/>
        </w:rPr>
        <w:t>eine solche Erleichterung für Vermittler nicht vor. Darin kann man eine Benachteiligung der Versicherungsvermittler gegenüber den Direktversicherer sehen (</w:t>
      </w:r>
      <w:proofErr w:type="spellStart"/>
      <w:r w:rsidRPr="00E8448D">
        <w:rPr>
          <w:rFonts w:ascii="Book Antiqua" w:hAnsi="Book Antiqua"/>
          <w:sz w:val="24"/>
          <w:szCs w:val="24"/>
        </w:rPr>
        <w:t>Terbille</w:t>
      </w:r>
      <w:proofErr w:type="spellEnd"/>
      <w:r w:rsidRPr="00E8448D">
        <w:rPr>
          <w:rFonts w:ascii="Book Antiqua" w:hAnsi="Book Antiqua"/>
          <w:sz w:val="24"/>
          <w:szCs w:val="24"/>
        </w:rPr>
        <w:t>/</w:t>
      </w:r>
      <w:proofErr w:type="spellStart"/>
      <w:r w:rsidRPr="00E8448D">
        <w:rPr>
          <w:rFonts w:ascii="Book Antiqua" w:hAnsi="Book Antiqua"/>
          <w:sz w:val="24"/>
          <w:szCs w:val="24"/>
        </w:rPr>
        <w:t>Höra</w:t>
      </w:r>
      <w:proofErr w:type="spellEnd"/>
      <w:r w:rsidRPr="00E8448D">
        <w:rPr>
          <w:rFonts w:ascii="Book Antiqua" w:hAnsi="Book Antiqua"/>
          <w:sz w:val="24"/>
          <w:szCs w:val="24"/>
        </w:rPr>
        <w:t xml:space="preserve">/Baumann § 4 </w:t>
      </w:r>
      <w:proofErr w:type="spellStart"/>
      <w:r w:rsidRPr="00E8448D">
        <w:rPr>
          <w:rFonts w:ascii="Book Antiqua" w:hAnsi="Book Antiqua"/>
          <w:sz w:val="24"/>
          <w:szCs w:val="24"/>
        </w:rPr>
        <w:t>Rn</w:t>
      </w:r>
      <w:proofErr w:type="spellEnd"/>
      <w:r w:rsidRPr="00E8448D">
        <w:rPr>
          <w:rFonts w:ascii="Book Antiqua" w:hAnsi="Book Antiqua"/>
          <w:sz w:val="24"/>
          <w:szCs w:val="24"/>
        </w:rPr>
        <w:t>. 45) und daraus die Schlussfolgerung ziehen, dass § 6 Abs. 6</w:t>
      </w:r>
      <w:r w:rsidR="007C4E0D" w:rsidRPr="00E8448D">
        <w:rPr>
          <w:rFonts w:ascii="Book Antiqua" w:hAnsi="Book Antiqua"/>
          <w:sz w:val="24"/>
          <w:szCs w:val="24"/>
        </w:rPr>
        <w:t xml:space="preserve"> VVG </w:t>
      </w:r>
      <w:r w:rsidRPr="00E8448D">
        <w:rPr>
          <w:rFonts w:ascii="Book Antiqua" w:hAnsi="Book Antiqua"/>
          <w:sz w:val="24"/>
          <w:szCs w:val="24"/>
        </w:rPr>
        <w:t xml:space="preserve"> auf den Vermittlervertrieb analoge Anwendung finden müsse (</w:t>
      </w:r>
      <w:proofErr w:type="spellStart"/>
      <w:r w:rsidRPr="00E8448D">
        <w:rPr>
          <w:rFonts w:ascii="Book Antiqua" w:hAnsi="Book Antiqua"/>
          <w:sz w:val="24"/>
          <w:szCs w:val="24"/>
        </w:rPr>
        <w:t>Münc</w:t>
      </w:r>
      <w:r w:rsidR="007C6F6A" w:rsidRPr="00E8448D">
        <w:rPr>
          <w:rFonts w:ascii="Book Antiqua" w:hAnsi="Book Antiqua"/>
          <w:sz w:val="24"/>
          <w:szCs w:val="24"/>
        </w:rPr>
        <w:t>hKommVVG</w:t>
      </w:r>
      <w:proofErr w:type="spellEnd"/>
      <w:r w:rsidR="007C6F6A" w:rsidRPr="00E8448D">
        <w:rPr>
          <w:rFonts w:ascii="Book Antiqua" w:hAnsi="Book Antiqua"/>
          <w:sz w:val="24"/>
          <w:szCs w:val="24"/>
        </w:rPr>
        <w:t xml:space="preserve">/Reiff § 61 VVG </w:t>
      </w:r>
      <w:proofErr w:type="spellStart"/>
      <w:r w:rsidR="007C6F6A" w:rsidRPr="00E8448D">
        <w:rPr>
          <w:rFonts w:ascii="Book Antiqua" w:hAnsi="Book Antiqua"/>
          <w:sz w:val="24"/>
          <w:szCs w:val="24"/>
        </w:rPr>
        <w:t>Rn</w:t>
      </w:r>
      <w:proofErr w:type="spellEnd"/>
      <w:r w:rsidR="007C6F6A" w:rsidRPr="00E8448D">
        <w:rPr>
          <w:rFonts w:ascii="Book Antiqua" w:hAnsi="Book Antiqua"/>
          <w:sz w:val="24"/>
          <w:szCs w:val="24"/>
        </w:rPr>
        <w:t xml:space="preserve">. 38; </w:t>
      </w:r>
      <w:r w:rsidRPr="00E8448D">
        <w:rPr>
          <w:rFonts w:ascii="Book Antiqua" w:hAnsi="Book Antiqua"/>
          <w:sz w:val="24"/>
          <w:szCs w:val="24"/>
        </w:rPr>
        <w:t xml:space="preserve">L/P/Baumann § 61 </w:t>
      </w:r>
      <w:proofErr w:type="spellStart"/>
      <w:r w:rsidRPr="00E8448D">
        <w:rPr>
          <w:rFonts w:ascii="Book Antiqua" w:hAnsi="Book Antiqua"/>
          <w:sz w:val="24"/>
          <w:szCs w:val="24"/>
        </w:rPr>
        <w:t>Rn</w:t>
      </w:r>
      <w:proofErr w:type="spellEnd"/>
      <w:r w:rsidRPr="00E8448D">
        <w:rPr>
          <w:rFonts w:ascii="Book Antiqua" w:hAnsi="Book Antiqua"/>
          <w:sz w:val="24"/>
          <w:szCs w:val="24"/>
        </w:rPr>
        <w:t xml:space="preserve">. 4; vgl. auch Fischer BB 2012, 2773, 2775; anders </w:t>
      </w:r>
      <w:proofErr w:type="spellStart"/>
      <w:r w:rsidRPr="00E8448D">
        <w:rPr>
          <w:rFonts w:ascii="Book Antiqua" w:hAnsi="Book Antiqua"/>
          <w:sz w:val="24"/>
          <w:szCs w:val="24"/>
        </w:rPr>
        <w:t>RHSch</w:t>
      </w:r>
      <w:proofErr w:type="spellEnd"/>
      <w:r w:rsidRPr="00E8448D">
        <w:rPr>
          <w:rFonts w:ascii="Book Antiqua" w:hAnsi="Book Antiqua"/>
          <w:sz w:val="24"/>
          <w:szCs w:val="24"/>
        </w:rPr>
        <w:t>/</w:t>
      </w:r>
      <w:proofErr w:type="spellStart"/>
      <w:r w:rsidRPr="00E8448D">
        <w:rPr>
          <w:rFonts w:ascii="Book Antiqua" w:hAnsi="Book Antiqua"/>
          <w:sz w:val="24"/>
          <w:szCs w:val="24"/>
        </w:rPr>
        <w:t>Münkel</w:t>
      </w:r>
      <w:proofErr w:type="spellEnd"/>
      <w:r w:rsidRPr="00E8448D">
        <w:rPr>
          <w:rFonts w:ascii="Book Antiqua" w:hAnsi="Book Antiqua"/>
          <w:sz w:val="24"/>
          <w:szCs w:val="24"/>
        </w:rPr>
        <w:t xml:space="preserve"> § 6 </w:t>
      </w:r>
      <w:proofErr w:type="spellStart"/>
      <w:r w:rsidRPr="00E8448D">
        <w:rPr>
          <w:rFonts w:ascii="Book Antiqua" w:hAnsi="Book Antiqua"/>
          <w:sz w:val="24"/>
          <w:szCs w:val="24"/>
        </w:rPr>
        <w:t>Rn</w:t>
      </w:r>
      <w:proofErr w:type="spellEnd"/>
      <w:r w:rsidRPr="00E8448D">
        <w:rPr>
          <w:rFonts w:ascii="Book Antiqua" w:hAnsi="Book Antiqua"/>
          <w:sz w:val="24"/>
          <w:szCs w:val="24"/>
        </w:rPr>
        <w:t xml:space="preserve">. 53; Franz VersR 2008, 298, 299). </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Indessen unterscheiden sich Direkt- und Vermittlervertrieb in einem zentralen Punkt, so dass es an der für eine Analogie erforderlichen Vergleichbarkeit der Interessenlage mangelt. Hier wie dort kann zwar der Versicherungsnehmer aufgrund der immanenten Beschränkungen des von ihm gewählten Vertriebsweges keine bis ins Detail gehende Bedarfsermittlung und möglicherweise auch keine so umfassende Produktberatung erwarten, wie sie im persönlichen Gespräch stattfindet. Eine via Internet an den Versicherer selbst gerichtete Anfrage beschränkt sich aber naturgemäß auf die Angebotspalette des betreffenden VR. An einen Vermittler wendet sich der Kunde – auch bei einer Kontaktaufnahme im Internet – jedoch gerade deswegen, weil er sich einen </w:t>
      </w:r>
      <w:r w:rsidRPr="00E8448D">
        <w:rPr>
          <w:rFonts w:ascii="Book Antiqua" w:hAnsi="Book Antiqua"/>
          <w:sz w:val="24"/>
          <w:szCs w:val="24"/>
          <w:u w:val="single"/>
        </w:rPr>
        <w:t>Produktvergleich</w:t>
      </w:r>
      <w:r w:rsidRPr="00E8448D">
        <w:rPr>
          <w:rFonts w:ascii="Book Antiqua" w:hAnsi="Book Antiqua"/>
          <w:sz w:val="24"/>
          <w:szCs w:val="24"/>
        </w:rPr>
        <w:t xml:space="preserve"> verschiedener Anbieter erhofft. Dieses Interesse besteht unabhängig von der Art des Vertriebsweges. Ihm würde bei analoger Anwendung von § 6 Abs. 6 </w:t>
      </w:r>
      <w:r w:rsidR="007C4E0D" w:rsidRPr="00E8448D">
        <w:rPr>
          <w:rFonts w:ascii="Book Antiqua" w:hAnsi="Book Antiqua"/>
          <w:sz w:val="24"/>
          <w:szCs w:val="24"/>
        </w:rPr>
        <w:t xml:space="preserve">VVG </w:t>
      </w:r>
      <w:r w:rsidRPr="00E8448D">
        <w:rPr>
          <w:rFonts w:ascii="Book Antiqua" w:hAnsi="Book Antiqua"/>
          <w:sz w:val="24"/>
          <w:szCs w:val="24"/>
        </w:rPr>
        <w:t xml:space="preserve">nicht Rechnung getragen; die Interessen des VN werden also wesentlich nachhaltiger berührt als im unmittelbaren Anwendungsbereich dieser Vorschrift. Dies spricht dafür, die für den Direktvertrieb vorgesehene Ausnahme nicht zu übernehmen (Prölls/Martin, </w:t>
      </w:r>
      <w:r w:rsidRPr="00E8448D">
        <w:rPr>
          <w:rFonts w:ascii="Book Antiqua" w:hAnsi="Book Antiqua"/>
          <w:i/>
          <w:sz w:val="24"/>
          <w:szCs w:val="24"/>
        </w:rPr>
        <w:t>Dörner</w:t>
      </w:r>
      <w:r w:rsidRPr="00E8448D">
        <w:rPr>
          <w:rFonts w:ascii="Book Antiqua" w:hAnsi="Book Antiqua"/>
          <w:sz w:val="24"/>
          <w:szCs w:val="24"/>
        </w:rPr>
        <w:t xml:space="preserve">, § 61 </w:t>
      </w:r>
      <w:proofErr w:type="spellStart"/>
      <w:r w:rsidRPr="00E8448D">
        <w:rPr>
          <w:rFonts w:ascii="Book Antiqua" w:hAnsi="Book Antiqua"/>
          <w:sz w:val="24"/>
          <w:szCs w:val="24"/>
        </w:rPr>
        <w:t>Rn</w:t>
      </w:r>
      <w:proofErr w:type="spellEnd"/>
      <w:r w:rsidRPr="00E8448D">
        <w:rPr>
          <w:rFonts w:ascii="Book Antiqua" w:hAnsi="Book Antiqua"/>
          <w:sz w:val="24"/>
          <w:szCs w:val="24"/>
        </w:rPr>
        <w:t>. 4).</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Ob eine Beratung für Versicherungsvermittler bei </w:t>
      </w:r>
      <w:r w:rsidR="007C4E0D" w:rsidRPr="00E8448D">
        <w:rPr>
          <w:rFonts w:ascii="Book Antiqua" w:hAnsi="Book Antiqua"/>
          <w:sz w:val="24"/>
          <w:szCs w:val="24"/>
        </w:rPr>
        <w:t>Fernabsatzverträgen</w:t>
      </w:r>
      <w:r w:rsidRPr="00E8448D">
        <w:rPr>
          <w:rFonts w:ascii="Book Antiqua" w:hAnsi="Book Antiqua"/>
          <w:sz w:val="24"/>
          <w:szCs w:val="24"/>
        </w:rPr>
        <w:t xml:space="preserve"> notwendig ist, ist also </w:t>
      </w:r>
      <w:r w:rsidRPr="00E8448D">
        <w:rPr>
          <w:rFonts w:ascii="Book Antiqua" w:hAnsi="Book Antiqua"/>
          <w:sz w:val="24"/>
          <w:szCs w:val="24"/>
          <w:u w:val="single"/>
        </w:rPr>
        <w:t>umstritten.</w:t>
      </w:r>
      <w:r w:rsidRPr="00E8448D">
        <w:rPr>
          <w:rFonts w:ascii="Book Antiqua" w:hAnsi="Book Antiqua"/>
          <w:sz w:val="24"/>
          <w:szCs w:val="24"/>
        </w:rPr>
        <w:t xml:space="preserve"> Meines Erachtens spricht mehr</w:t>
      </w:r>
      <w:r w:rsidR="007C4E0D" w:rsidRPr="00E8448D">
        <w:rPr>
          <w:rFonts w:ascii="Book Antiqua" w:hAnsi="Book Antiqua"/>
          <w:sz w:val="24"/>
          <w:szCs w:val="24"/>
        </w:rPr>
        <w:t xml:space="preserve"> gegen</w:t>
      </w:r>
      <w:r w:rsidRPr="00E8448D">
        <w:rPr>
          <w:rFonts w:ascii="Book Antiqua" w:hAnsi="Book Antiqua"/>
          <w:sz w:val="24"/>
          <w:szCs w:val="24"/>
        </w:rPr>
        <w:t xml:space="preserve"> eine analoge Anwendung des § 6 Abs. 6 VVG auch a</w:t>
      </w:r>
      <w:r w:rsidR="0010647A" w:rsidRPr="00E8448D">
        <w:rPr>
          <w:rFonts w:ascii="Book Antiqua" w:hAnsi="Book Antiqua"/>
          <w:sz w:val="24"/>
          <w:szCs w:val="24"/>
        </w:rPr>
        <w:t>uf den Vermittler, sodass eine Beratungsp</w:t>
      </w:r>
      <w:r w:rsidRPr="00E8448D">
        <w:rPr>
          <w:rFonts w:ascii="Book Antiqua" w:hAnsi="Book Antiqua"/>
          <w:sz w:val="24"/>
          <w:szCs w:val="24"/>
        </w:rPr>
        <w:t>flicht</w:t>
      </w:r>
      <w:r w:rsidR="0010647A" w:rsidRPr="00E8448D">
        <w:rPr>
          <w:rFonts w:ascii="Book Antiqua" w:hAnsi="Book Antiqua"/>
          <w:sz w:val="24"/>
          <w:szCs w:val="24"/>
        </w:rPr>
        <w:t xml:space="preserve"> nicht</w:t>
      </w:r>
      <w:r w:rsidRPr="00E8448D">
        <w:rPr>
          <w:rFonts w:ascii="Book Antiqua" w:hAnsi="Book Antiqua"/>
          <w:sz w:val="24"/>
          <w:szCs w:val="24"/>
        </w:rPr>
        <w:t xml:space="preserve"> entfallen würde. Zum einen spricht dafür, dass bei den Beratungspflichten des Versicherers und des Vermittlers ein sogenannter </w:t>
      </w:r>
      <w:r w:rsidRPr="00E8448D">
        <w:rPr>
          <w:rFonts w:ascii="Book Antiqua" w:hAnsi="Book Antiqua"/>
          <w:sz w:val="24"/>
          <w:szCs w:val="24"/>
        </w:rPr>
        <w:lastRenderedPageBreak/>
        <w:t>„Gleichlauf“ erzielt werden sollte. Das heißt die Beratungspflichten, die ein Versicherungsvermittler zu erbringen hat, hat auch ein Versicherungsunternehmen zu erfüllen. Zum anderen handelt es sich hierbei um die gleiche Interessenlage. Es überzeugt nicht, dass damit argumentiert wird, ein Versicherungsnehmer wendet sich an einen Online-Makler nur deshalb, weil er über die Angebotspalette bei mehreren Versicherern beraten werden möchte. Der Versicherungsnehmer, der zum Beispiel über ein Vergleichsportal eine Versicherung abschließt, sucht eine</w:t>
      </w:r>
      <w:r w:rsidR="00A20D50" w:rsidRPr="00E8448D">
        <w:rPr>
          <w:rFonts w:ascii="Book Antiqua" w:hAnsi="Book Antiqua"/>
          <w:sz w:val="24"/>
          <w:szCs w:val="24"/>
        </w:rPr>
        <w:t xml:space="preserve"> geeignete</w:t>
      </w:r>
      <w:r w:rsidRPr="00E8448D">
        <w:rPr>
          <w:rFonts w:ascii="Book Antiqua" w:hAnsi="Book Antiqua"/>
          <w:sz w:val="24"/>
          <w:szCs w:val="24"/>
        </w:rPr>
        <w:t xml:space="preserve"> Versicherung, nicht „die“ Versicherung.</w:t>
      </w:r>
    </w:p>
    <w:p w:rsidR="002576C9"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Um sich jedoch nicht gegenüber Ihren Versicherungsnehmern schadensersatzpflichtig zu machen, </w:t>
      </w:r>
      <w:proofErr w:type="gramStart"/>
      <w:r w:rsidRPr="00E8448D">
        <w:rPr>
          <w:rFonts w:ascii="Book Antiqua" w:hAnsi="Book Antiqua"/>
          <w:sz w:val="24"/>
          <w:szCs w:val="24"/>
        </w:rPr>
        <w:t>sol</w:t>
      </w:r>
      <w:r w:rsidR="0010647A" w:rsidRPr="00E8448D">
        <w:rPr>
          <w:rFonts w:ascii="Book Antiqua" w:hAnsi="Book Antiqua"/>
          <w:sz w:val="24"/>
          <w:szCs w:val="24"/>
        </w:rPr>
        <w:t>lte</w:t>
      </w:r>
      <w:proofErr w:type="gramEnd"/>
      <w:r w:rsidR="0010647A" w:rsidRPr="00E8448D">
        <w:rPr>
          <w:rFonts w:ascii="Book Antiqua" w:hAnsi="Book Antiqua"/>
          <w:sz w:val="24"/>
          <w:szCs w:val="24"/>
        </w:rPr>
        <w:t xml:space="preserve"> Sie eine Beratung</w:t>
      </w:r>
      <w:r w:rsidR="00A20D50" w:rsidRPr="00E8448D">
        <w:rPr>
          <w:rFonts w:ascii="Book Antiqua" w:hAnsi="Book Antiqua"/>
          <w:sz w:val="24"/>
          <w:szCs w:val="24"/>
        </w:rPr>
        <w:t xml:space="preserve"> und eine Beratungsdokumentation</w:t>
      </w:r>
      <w:r w:rsidR="0010647A" w:rsidRPr="00E8448D">
        <w:rPr>
          <w:rFonts w:ascii="Book Antiqua" w:hAnsi="Book Antiqua"/>
          <w:sz w:val="24"/>
          <w:szCs w:val="24"/>
        </w:rPr>
        <w:t xml:space="preserve"> vornehmen!</w:t>
      </w:r>
      <w:r w:rsidRPr="00E8448D">
        <w:rPr>
          <w:rFonts w:ascii="Book Antiqua" w:hAnsi="Book Antiqua"/>
          <w:sz w:val="24"/>
          <w:szCs w:val="24"/>
        </w:rPr>
        <w:t xml:space="preserve"> Wie der BGH bei dieser Frage </w:t>
      </w:r>
      <w:r w:rsidR="0010647A" w:rsidRPr="00E8448D">
        <w:rPr>
          <w:rFonts w:ascii="Book Antiqua" w:hAnsi="Book Antiqua"/>
          <w:sz w:val="24"/>
          <w:szCs w:val="24"/>
        </w:rPr>
        <w:t xml:space="preserve">nach jetziger Rechtslage </w:t>
      </w:r>
      <w:r w:rsidRPr="00E8448D">
        <w:rPr>
          <w:rFonts w:ascii="Book Antiqua" w:hAnsi="Book Antiqua"/>
          <w:sz w:val="24"/>
          <w:szCs w:val="24"/>
        </w:rPr>
        <w:t xml:space="preserve">entscheiden wird, lässt sich aus jetziger Sicht nicht beantworten.    </w:t>
      </w:r>
    </w:p>
    <w:p w:rsidR="001274BB" w:rsidRPr="00E8448D" w:rsidRDefault="001274BB"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4"/>
        </w:numPr>
        <w:spacing w:line="276" w:lineRule="auto"/>
        <w:jc w:val="both"/>
        <w:rPr>
          <w:rFonts w:ascii="Book Antiqua" w:hAnsi="Book Antiqua"/>
          <w:b/>
          <w:sz w:val="24"/>
          <w:szCs w:val="24"/>
        </w:rPr>
      </w:pPr>
      <w:r w:rsidRPr="00E8448D">
        <w:rPr>
          <w:rFonts w:ascii="Book Antiqua" w:hAnsi="Book Antiqua"/>
          <w:b/>
          <w:sz w:val="24"/>
          <w:szCs w:val="24"/>
        </w:rPr>
        <w:t>Art der Beratung</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Es kann eine „Onlineberatung“ wie etwa über Skype oder besondere Chaträume, eine telefonische Beratung sowie eine klassische Beratung im Vier-Augen-Gespräch im Büro des Maklers oder bei dem Versicherungsnehmer zuhause erfolgen. Es kommt bei der Beratung nicht auf die Art der Beratung an, wichtig ist lediglich, dass die Art der Beratung geeignet ist, die Inhalte verständlich und den Anforderungen angemessen zu erläutern.</w:t>
      </w:r>
    </w:p>
    <w:p w:rsidR="0010647A" w:rsidRPr="00E8448D" w:rsidRDefault="0010647A"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4"/>
        </w:numPr>
        <w:spacing w:line="276" w:lineRule="auto"/>
        <w:jc w:val="both"/>
        <w:rPr>
          <w:rFonts w:ascii="Book Antiqua" w:hAnsi="Book Antiqua"/>
          <w:b/>
          <w:sz w:val="24"/>
          <w:szCs w:val="24"/>
        </w:rPr>
      </w:pPr>
      <w:r w:rsidRPr="00E8448D">
        <w:rPr>
          <w:rFonts w:ascii="Book Antiqua" w:hAnsi="Book Antiqua"/>
          <w:b/>
          <w:sz w:val="24"/>
          <w:szCs w:val="24"/>
        </w:rPr>
        <w:t>Intensität der Beratung</w:t>
      </w:r>
    </w:p>
    <w:p w:rsidR="003B36D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Die Intensität der Produktberatung durch einen Versicherungsmakler richtet sich gem. § 61 Abs. 1 S. 1 VVG nach der Komplexität des Produkts sowie der Person und Situation des Versicherungsnehmers. Es handelt sich hierbei um ein „bewegliches Modell“. Je komplexer oder je unerfahrener der Versicherungsnehmer ist, desto intensiver hat die Beratung stattzufinden. Es erscheint nur logisch, dass die Beratung für eine private Krankenversicherung nicht den gleichen Beratungsbedarf hat wie eine private </w:t>
      </w:r>
      <w:r w:rsidR="0010647A" w:rsidRPr="00E8448D">
        <w:rPr>
          <w:rFonts w:ascii="Book Antiqua" w:hAnsi="Book Antiqua"/>
          <w:sz w:val="24"/>
          <w:szCs w:val="24"/>
        </w:rPr>
        <w:t>Hausrat</w:t>
      </w:r>
      <w:r w:rsidRPr="00E8448D">
        <w:rPr>
          <w:rFonts w:ascii="Book Antiqua" w:hAnsi="Book Antiqua"/>
          <w:sz w:val="24"/>
          <w:szCs w:val="24"/>
        </w:rPr>
        <w:t xml:space="preserve">versicherung. Der Schwerpunkt der Beratung eines Versicherungsmaklers liegt dabei auf einem Produktvergleich. Der Makler muss das für den Versicherungsnehmer passendste und damit dasjenige Produkt ermitteln, welches den Interessen </w:t>
      </w:r>
      <w:r w:rsidR="0010647A" w:rsidRPr="00E8448D">
        <w:rPr>
          <w:rFonts w:ascii="Book Antiqua" w:hAnsi="Book Antiqua"/>
          <w:sz w:val="24"/>
          <w:szCs w:val="24"/>
        </w:rPr>
        <w:t xml:space="preserve">und Wünschen </w:t>
      </w:r>
      <w:r w:rsidRPr="00E8448D">
        <w:rPr>
          <w:rFonts w:ascii="Book Antiqua" w:hAnsi="Book Antiqua"/>
          <w:sz w:val="24"/>
          <w:szCs w:val="24"/>
        </w:rPr>
        <w:t>des Versicherungsnehmers am ehesten entspricht. Wie dieses Ergebnis erzielt und präsentiert wird, ist dabei nicht zwingend vorgegeben. Der Bedarf kann beispielsweise auch über eine Reihe von anzukreuzenden Kästchen mit vorstehenden und nachstehenden Erläuterungen erfolgen.</w:t>
      </w:r>
      <w:r w:rsidR="003B36DF" w:rsidRPr="00E8448D">
        <w:rPr>
          <w:rFonts w:ascii="Book Antiqua" w:hAnsi="Book Antiqua"/>
          <w:sz w:val="24"/>
          <w:szCs w:val="24"/>
        </w:rPr>
        <w:t xml:space="preserve"> Ein anschließender Verweis auf pauschale Deckungslücken genügt jedoch </w:t>
      </w:r>
      <w:r w:rsidR="003B36DF" w:rsidRPr="00E8448D">
        <w:rPr>
          <w:rFonts w:ascii="Book Antiqua" w:hAnsi="Book Antiqua"/>
          <w:sz w:val="24"/>
          <w:szCs w:val="24"/>
        </w:rPr>
        <w:lastRenderedPageBreak/>
        <w:t xml:space="preserve">laut dem BGH (BGH NJW 2016, 3366) ausdrücklich nicht. Da es zu den originären Pflichten des Versicherungsmaklers gehört zu ermitteln, wie die effektivste Deckung erreicht werden kann, bei welchem Risikoträger die Absicherung vorgenommen werden kann und zu welcher Prämienhöhe welche Risikoabdeckung erhältlich ist, muss sichergestellt werden, dass Sie als Makler diesen Verpflichtungen weiter gerecht werden können. </w:t>
      </w:r>
    </w:p>
    <w:p w:rsidR="00044442" w:rsidRPr="00E8448D" w:rsidRDefault="003B36DF" w:rsidP="001B30EA">
      <w:pPr>
        <w:spacing w:line="276" w:lineRule="auto"/>
        <w:jc w:val="both"/>
        <w:rPr>
          <w:rFonts w:ascii="Book Antiqua" w:hAnsi="Book Antiqua"/>
          <w:sz w:val="24"/>
          <w:szCs w:val="24"/>
        </w:rPr>
      </w:pPr>
      <w:r w:rsidRPr="00E8448D">
        <w:rPr>
          <w:rFonts w:ascii="Book Antiqua" w:hAnsi="Book Antiqua"/>
          <w:sz w:val="24"/>
          <w:szCs w:val="24"/>
        </w:rPr>
        <w:t>Diese Bedarfsermittlung und -beratung kann sicherlich durch die Erhebung von Kundeninformationen via Internet über Ankreuzkästchen oder ähnlichem vorbereitet werden. Eine endgültige Beratung sollte jedoch nach wie vor persönlich – per Telefon, Skype oder Videochat – erfolgen.</w:t>
      </w:r>
    </w:p>
    <w:p w:rsidR="003B36DF" w:rsidRPr="00E8448D" w:rsidRDefault="003B36DF" w:rsidP="001B30EA">
      <w:pPr>
        <w:spacing w:line="276" w:lineRule="auto"/>
        <w:jc w:val="both"/>
        <w:rPr>
          <w:rFonts w:ascii="Book Antiqua" w:hAnsi="Book Antiqua"/>
          <w:sz w:val="24"/>
          <w:szCs w:val="24"/>
        </w:rPr>
      </w:pPr>
      <w:r w:rsidRPr="00E8448D">
        <w:rPr>
          <w:rFonts w:ascii="Book Antiqua" w:hAnsi="Book Antiqua"/>
          <w:sz w:val="24"/>
          <w:szCs w:val="24"/>
        </w:rPr>
        <w:t>Sofern die Beratung des Versicherungsnehmers durch den Versicherungsmakler sich als unzureichend herausstellt, haftet der Versicherungsmakler. In dem oben angesprochenen „Sprinkler-Fall“ hat der Versicherungsmakler die Risiken des Versicherungsnehmers nach Auffassung des Gerichts nicht richtig ermittelt. Die Sprinkleranlage einer Industriehalle, welche nicht versichert war, löste aus einem unerklärlichen Grund aus und führte zur Unbrauchbarkeit der in der Halle lagernden Güter. Es entstand ein Schaden in Höhe von rund 10 Millionen Euro, welche der Versicherungsnehmer nun vom Versi</w:t>
      </w:r>
      <w:r w:rsidR="00A20D50" w:rsidRPr="00E8448D">
        <w:rPr>
          <w:rFonts w:ascii="Book Antiqua" w:hAnsi="Book Antiqua"/>
          <w:sz w:val="24"/>
          <w:szCs w:val="24"/>
        </w:rPr>
        <w:t>cherungsmakler verlangt</w:t>
      </w:r>
      <w:r w:rsidRPr="00E8448D">
        <w:rPr>
          <w:rFonts w:ascii="Book Antiqua" w:hAnsi="Book Antiqua"/>
          <w:sz w:val="24"/>
          <w:szCs w:val="24"/>
        </w:rPr>
        <w:t>.</w:t>
      </w:r>
    </w:p>
    <w:p w:rsidR="0070246A" w:rsidRPr="00E8448D" w:rsidRDefault="0070246A"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1"/>
        </w:numPr>
        <w:spacing w:line="276" w:lineRule="auto"/>
        <w:jc w:val="both"/>
        <w:rPr>
          <w:rFonts w:ascii="Book Antiqua" w:hAnsi="Book Antiqua"/>
          <w:b/>
          <w:sz w:val="24"/>
          <w:szCs w:val="24"/>
        </w:rPr>
      </w:pPr>
      <w:r w:rsidRPr="00E8448D">
        <w:rPr>
          <w:rFonts w:ascii="Book Antiqua" w:hAnsi="Book Antiqua"/>
          <w:b/>
          <w:sz w:val="24"/>
          <w:szCs w:val="24"/>
        </w:rPr>
        <w:t>Ausfertigung und Übergabe der Dokumente</w:t>
      </w:r>
    </w:p>
    <w:p w:rsidR="002576C9" w:rsidRPr="00E8448D" w:rsidRDefault="002576C9" w:rsidP="001B30EA">
      <w:pPr>
        <w:pStyle w:val="Listenabsatz"/>
        <w:spacing w:line="276" w:lineRule="auto"/>
        <w:ind w:left="1080"/>
        <w:jc w:val="both"/>
        <w:rPr>
          <w:rFonts w:ascii="Book Antiqua" w:hAnsi="Book Antiqua"/>
          <w:b/>
          <w:sz w:val="24"/>
          <w:szCs w:val="24"/>
        </w:rPr>
      </w:pP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Gleichwohl der fortschreitenden Entwicklung bedarf es auch weiterhin der Übergabe bestimmter Dokumente an den Versicherungsnehmer. </w:t>
      </w:r>
    </w:p>
    <w:p w:rsidR="0070102F" w:rsidRPr="00E8448D" w:rsidRDefault="0070102F"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5"/>
        </w:numPr>
        <w:spacing w:line="276" w:lineRule="auto"/>
        <w:jc w:val="both"/>
        <w:rPr>
          <w:rFonts w:ascii="Book Antiqua" w:hAnsi="Book Antiqua"/>
          <w:b/>
          <w:sz w:val="24"/>
          <w:szCs w:val="24"/>
        </w:rPr>
      </w:pPr>
      <w:r w:rsidRPr="00E8448D">
        <w:rPr>
          <w:rFonts w:ascii="Book Antiqua" w:hAnsi="Book Antiqua"/>
          <w:b/>
          <w:sz w:val="24"/>
          <w:szCs w:val="24"/>
        </w:rPr>
        <w:t>Zu übermittelnden Dokumente</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Übermittelt werden müssen dem Versicherungsnehmer gem. § 11 VersVermV die Statusinformationen beim ersten Geschäftskontakt. Weiter sollten dem Versicherungsnehmer noch der Maklervertrag sowie die Maklervollmacht übermittelt werden.</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Darüber hinaus ist zwingend vorgesehen, dass der Vermittler dem Versicherungsnehmer gem. § 62 Abs. 1 1. Alt. VVG die Informationen nach § 60 Abs. 2</w:t>
      </w:r>
      <w:r w:rsidR="00A20D50" w:rsidRPr="00E8448D">
        <w:rPr>
          <w:rFonts w:ascii="Book Antiqua" w:hAnsi="Book Antiqua"/>
          <w:sz w:val="24"/>
          <w:szCs w:val="24"/>
        </w:rPr>
        <w:t xml:space="preserve"> VVG</w:t>
      </w:r>
      <w:r w:rsidRPr="00E8448D">
        <w:rPr>
          <w:rFonts w:ascii="Book Antiqua" w:hAnsi="Book Antiqua"/>
          <w:sz w:val="24"/>
          <w:szCs w:val="24"/>
        </w:rPr>
        <w:t>, mithin also den Informationen, auf welcher Markt- und Informationsgrundlage der Vermittler seine Leistung erbringen will und welche Versicherer er bei seiner Empfehlung zu Grunde legt, vor Abgabe dessen Vertragserklärung übermittelt.</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lastRenderedPageBreak/>
        <w:t xml:space="preserve">Ferner ist der Versicherungsvermittler gem. § 62 Abs. 1 2. Alt. VVG dazu verpflichtet dem Versicherungsnehmer die nach § 61 Abs. 1 S. 2 VVG geschuldete Dokumentation von Bedarfserhebung, Beratung und Empfehlung dem Versicherungsnehmer </w:t>
      </w:r>
      <w:r w:rsidRPr="00E8448D">
        <w:rPr>
          <w:rFonts w:ascii="Book Antiqua" w:hAnsi="Book Antiqua"/>
          <w:sz w:val="24"/>
          <w:szCs w:val="24"/>
          <w:u w:val="single"/>
        </w:rPr>
        <w:t xml:space="preserve">vor </w:t>
      </w:r>
      <w:r w:rsidRPr="00E8448D">
        <w:rPr>
          <w:rFonts w:ascii="Book Antiqua" w:hAnsi="Book Antiqua"/>
          <w:sz w:val="24"/>
          <w:szCs w:val="24"/>
        </w:rPr>
        <w:t>Vertragsschluss mit dem Versicherer zu übermitteln.</w:t>
      </w:r>
      <w:r w:rsidR="0010647A" w:rsidRPr="00E8448D">
        <w:rPr>
          <w:rFonts w:ascii="Book Antiqua" w:hAnsi="Book Antiqua"/>
          <w:sz w:val="24"/>
          <w:szCs w:val="24"/>
        </w:rPr>
        <w:t xml:space="preserve"> Dies ist auch technisch unbedingt sicherzustellen. </w:t>
      </w:r>
    </w:p>
    <w:p w:rsidR="0070246A" w:rsidRPr="00E8448D" w:rsidRDefault="0070246A"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5"/>
        </w:numPr>
        <w:spacing w:line="276" w:lineRule="auto"/>
        <w:jc w:val="both"/>
        <w:rPr>
          <w:rFonts w:ascii="Book Antiqua" w:hAnsi="Book Antiqua"/>
          <w:b/>
          <w:sz w:val="24"/>
          <w:szCs w:val="24"/>
        </w:rPr>
      </w:pPr>
      <w:r w:rsidRPr="00E8448D">
        <w:rPr>
          <w:rFonts w:ascii="Book Antiqua" w:hAnsi="Book Antiqua"/>
          <w:b/>
          <w:sz w:val="24"/>
          <w:szCs w:val="24"/>
        </w:rPr>
        <w:t>Form der Übermittlung</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Grundsätzlich sind sämtliche Informationen in </w:t>
      </w:r>
      <w:r w:rsidRPr="00E8448D">
        <w:rPr>
          <w:rFonts w:ascii="Book Antiqua" w:hAnsi="Book Antiqua"/>
          <w:sz w:val="24"/>
          <w:szCs w:val="24"/>
          <w:u w:val="single"/>
        </w:rPr>
        <w:t>Textform</w:t>
      </w:r>
      <w:r w:rsidRPr="00E8448D">
        <w:rPr>
          <w:rFonts w:ascii="Book Antiqua" w:hAnsi="Book Antiqua"/>
          <w:sz w:val="24"/>
          <w:szCs w:val="24"/>
        </w:rPr>
        <w:t xml:space="preserve"> zu übermitteln. Dies setzt voraus, dass die jeweilige Erklärung in einer Urkunde oder auf andere, zur dauerhaften Wiedergabe in Schriftzeichen geeigneten Weise abgegeben, die Person des Erklärenden genannt und der Abschluss der Erklärung z.</w:t>
      </w:r>
      <w:r w:rsidRPr="00E8448D">
        <w:rPr>
          <w:rFonts w:ascii="Calibri" w:eastAsia="Calibri" w:hAnsi="Calibri" w:cs="Calibri"/>
          <w:sz w:val="24"/>
          <w:szCs w:val="24"/>
        </w:rPr>
        <w:t> </w:t>
      </w:r>
      <w:r w:rsidRPr="00E8448D">
        <w:rPr>
          <w:rFonts w:ascii="Book Antiqua" w:hAnsi="Book Antiqua"/>
          <w:sz w:val="24"/>
          <w:szCs w:val="24"/>
        </w:rPr>
        <w:t>B. durch Nachb</w:t>
      </w:r>
      <w:r w:rsidR="00A20D50" w:rsidRPr="00E8448D">
        <w:rPr>
          <w:rFonts w:ascii="Book Antiqua" w:hAnsi="Book Antiqua"/>
          <w:sz w:val="24"/>
          <w:szCs w:val="24"/>
        </w:rPr>
        <w:t xml:space="preserve">ildung </w:t>
      </w:r>
      <w:r w:rsidRPr="00E8448D">
        <w:rPr>
          <w:rFonts w:ascii="Book Antiqua" w:hAnsi="Book Antiqua"/>
          <w:sz w:val="24"/>
          <w:szCs w:val="24"/>
        </w:rPr>
        <w:t>der Namensunterschrift erkennbar gemacht werden. Ohne Zweifel sind die genannten Voraussetzungen der „Textform“ bzw. eines „dauerhaften Datenträger“ erfüllt, wenn der Vermittler seine Informationen dem Adressaten schriftlich oder per Fax übersendet oder sie per E-Mail übermittelt, so dass dieser sie auf seinem Rechner abspeichern und ggf. ausdrucken kann. Unklar und streitig war dagegen, ob es ausreicht, dass die mitzuteilenden Informationen auf der Homepage des Vermittlers abrufbar sind. Nach h.</w:t>
      </w:r>
      <w:r w:rsidRPr="00E8448D">
        <w:rPr>
          <w:rFonts w:ascii="Calibri" w:eastAsia="Calibri" w:hAnsi="Calibri" w:cs="Calibri"/>
          <w:sz w:val="24"/>
          <w:szCs w:val="24"/>
        </w:rPr>
        <w:t> </w:t>
      </w:r>
      <w:r w:rsidRPr="00E8448D">
        <w:rPr>
          <w:rFonts w:ascii="Book Antiqua" w:hAnsi="Book Antiqua"/>
          <w:sz w:val="24"/>
          <w:szCs w:val="24"/>
        </w:rPr>
        <w:t>M. (vgl. BGH VersR 2011, 269; VersR-</w:t>
      </w:r>
      <w:proofErr w:type="spellStart"/>
      <w:r w:rsidRPr="00E8448D">
        <w:rPr>
          <w:rFonts w:ascii="Book Antiqua" w:hAnsi="Book Antiqua"/>
          <w:sz w:val="24"/>
          <w:szCs w:val="24"/>
        </w:rPr>
        <w:t>Hdb</w:t>
      </w:r>
      <w:proofErr w:type="spellEnd"/>
      <w:r w:rsidRPr="00E8448D">
        <w:rPr>
          <w:rFonts w:ascii="Book Antiqua" w:hAnsi="Book Antiqua"/>
          <w:sz w:val="24"/>
          <w:szCs w:val="24"/>
        </w:rPr>
        <w:t xml:space="preserve">/Dörner § 9 </w:t>
      </w:r>
      <w:proofErr w:type="spellStart"/>
      <w:r w:rsidRPr="00E8448D">
        <w:rPr>
          <w:rFonts w:ascii="Book Antiqua" w:hAnsi="Book Antiqua"/>
          <w:sz w:val="24"/>
          <w:szCs w:val="24"/>
        </w:rPr>
        <w:t>Rn</w:t>
      </w:r>
      <w:proofErr w:type="spellEnd"/>
      <w:r w:rsidRPr="00E8448D">
        <w:rPr>
          <w:rFonts w:ascii="Book Antiqua" w:hAnsi="Book Antiqua"/>
          <w:sz w:val="24"/>
          <w:szCs w:val="24"/>
        </w:rPr>
        <w:t xml:space="preserve">. 76) genügt diese bloße Möglichkeit eines Downloads allein </w:t>
      </w:r>
      <w:r w:rsidRPr="00E8448D">
        <w:rPr>
          <w:rFonts w:ascii="Book Antiqua" w:hAnsi="Book Antiqua"/>
          <w:sz w:val="24"/>
          <w:szCs w:val="24"/>
          <w:u w:val="single"/>
        </w:rPr>
        <w:t>nicht</w:t>
      </w:r>
      <w:r w:rsidRPr="00E8448D">
        <w:rPr>
          <w:rFonts w:ascii="Book Antiqua" w:hAnsi="Book Antiqua"/>
          <w:sz w:val="24"/>
          <w:szCs w:val="24"/>
        </w:rPr>
        <w:t xml:space="preserve">. Die Form sei erst eingehalten, nachdem der Kunde die Informationen tatsächlich heruntergeladen oder ausgedruckt habe (Prölss/Martin/Dörner VVG § 62 </w:t>
      </w:r>
      <w:proofErr w:type="spellStart"/>
      <w:r w:rsidRPr="00E8448D">
        <w:rPr>
          <w:rFonts w:ascii="Book Antiqua" w:hAnsi="Book Antiqua"/>
          <w:sz w:val="24"/>
          <w:szCs w:val="24"/>
        </w:rPr>
        <w:t>Rn</w:t>
      </w:r>
      <w:proofErr w:type="spellEnd"/>
      <w:r w:rsidRPr="00E8448D">
        <w:rPr>
          <w:rFonts w:ascii="Book Antiqua" w:hAnsi="Book Antiqua"/>
          <w:sz w:val="24"/>
          <w:szCs w:val="24"/>
        </w:rPr>
        <w:t xml:space="preserve">. 5f.). Sofern der Vermittler wirklich sichergehen will, dass er seiner Übermittlungspflicht nachgekommen ist, sollte er die Dokumente per E-Mail verschicken und gleichzeitig eine Empfangsbestätigung anfordern. </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Die Übermittlung der zu übergebenden Dokumente sollte generell auch in der </w:t>
      </w:r>
      <w:r w:rsidR="0010647A" w:rsidRPr="00E8448D">
        <w:rPr>
          <w:rFonts w:ascii="Book Antiqua" w:hAnsi="Book Antiqua"/>
          <w:sz w:val="24"/>
          <w:szCs w:val="24"/>
        </w:rPr>
        <w:t>„</w:t>
      </w:r>
      <w:r w:rsidRPr="00E8448D">
        <w:rPr>
          <w:rFonts w:ascii="Book Antiqua" w:hAnsi="Book Antiqua"/>
          <w:sz w:val="24"/>
          <w:szCs w:val="24"/>
        </w:rPr>
        <w:t>analogen</w:t>
      </w:r>
      <w:r w:rsidR="0010647A" w:rsidRPr="00E8448D">
        <w:rPr>
          <w:rFonts w:ascii="Book Antiqua" w:hAnsi="Book Antiqua"/>
          <w:sz w:val="24"/>
          <w:szCs w:val="24"/>
        </w:rPr>
        <w:t>“</w:t>
      </w:r>
      <w:r w:rsidRPr="00E8448D">
        <w:rPr>
          <w:rFonts w:ascii="Book Antiqua" w:hAnsi="Book Antiqua"/>
          <w:sz w:val="24"/>
          <w:szCs w:val="24"/>
        </w:rPr>
        <w:t xml:space="preserve"> Versicherungsvermittlung per E-Mail erfolgen. Etwaige nicht digitalisierte Dokumente sollten dabei gescannt und versendet werden. So kann der Vermittler im Falle des Bestreitens des Erhaltens der Dokumente die Erfüllungen seiner Pflichten beweisen.</w:t>
      </w:r>
      <w:r w:rsidR="00D21909" w:rsidRPr="00E8448D">
        <w:rPr>
          <w:rFonts w:ascii="Book Antiqua" w:hAnsi="Book Antiqua"/>
          <w:sz w:val="24"/>
          <w:szCs w:val="24"/>
        </w:rPr>
        <w:t xml:space="preserve"> Darüber hinaus sollten Sie beim Versenden dieser Dokumente auch immer </w:t>
      </w:r>
      <w:r w:rsidR="00D21909" w:rsidRPr="00E8448D">
        <w:rPr>
          <w:rFonts w:ascii="Book Antiqua" w:hAnsi="Book Antiqua"/>
          <w:sz w:val="24"/>
          <w:szCs w:val="24"/>
          <w:u w:val="single"/>
        </w:rPr>
        <w:t>Empfangsbestätigung</w:t>
      </w:r>
      <w:r w:rsidR="00D21909" w:rsidRPr="00E8448D">
        <w:rPr>
          <w:rFonts w:ascii="Book Antiqua" w:hAnsi="Book Antiqua"/>
          <w:sz w:val="24"/>
          <w:szCs w:val="24"/>
        </w:rPr>
        <w:t xml:space="preserve"> schicken lassen.</w:t>
      </w:r>
      <w:r w:rsidRPr="00E8448D">
        <w:rPr>
          <w:rFonts w:ascii="Book Antiqua" w:hAnsi="Book Antiqua"/>
          <w:sz w:val="24"/>
          <w:szCs w:val="24"/>
        </w:rPr>
        <w:t xml:space="preserve"> Tatsächlich liegt bei der Onlinevermittlung kein allzu großer Unterschied vor.</w:t>
      </w:r>
    </w:p>
    <w:p w:rsidR="0010647A" w:rsidRPr="00E8448D" w:rsidRDefault="0010647A"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1"/>
        </w:numPr>
        <w:spacing w:line="276" w:lineRule="auto"/>
        <w:jc w:val="both"/>
        <w:rPr>
          <w:rFonts w:ascii="Book Antiqua" w:hAnsi="Book Antiqua"/>
          <w:b/>
          <w:sz w:val="24"/>
          <w:szCs w:val="24"/>
        </w:rPr>
      </w:pPr>
      <w:r w:rsidRPr="00E8448D">
        <w:rPr>
          <w:rFonts w:ascii="Book Antiqua" w:hAnsi="Book Antiqua"/>
          <w:b/>
          <w:sz w:val="24"/>
          <w:szCs w:val="24"/>
        </w:rPr>
        <w:t>Onlinespezifisches Wettbewerbsrecht</w:t>
      </w:r>
    </w:p>
    <w:p w:rsidR="002576C9" w:rsidRPr="00E8448D" w:rsidRDefault="002576C9" w:rsidP="001B30EA">
      <w:pPr>
        <w:pStyle w:val="Listenabsatz"/>
        <w:spacing w:line="276" w:lineRule="auto"/>
        <w:ind w:left="1080"/>
        <w:jc w:val="both"/>
        <w:rPr>
          <w:rFonts w:ascii="Book Antiqua" w:hAnsi="Book Antiqua"/>
          <w:b/>
          <w:sz w:val="24"/>
          <w:szCs w:val="24"/>
        </w:rPr>
      </w:pPr>
    </w:p>
    <w:p w:rsidR="002576C9"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Auch wenn es manche Vermittler nicht wahrhaben wollen, handelt es sich auch beim Internet nicht um einen rechtsfreien Raum. Das Wettbewerbsrecht dient dabei dem </w:t>
      </w:r>
      <w:r w:rsidRPr="00E8448D">
        <w:rPr>
          <w:rFonts w:ascii="Book Antiqua" w:hAnsi="Book Antiqua"/>
          <w:sz w:val="24"/>
          <w:szCs w:val="24"/>
        </w:rPr>
        <w:lastRenderedPageBreak/>
        <w:t>Zweck den Wettbewerb der einzelnen Vermittler untereinander zu regulieren und zu gewährleisten. Es lässt sich deshalb festhalten, dass das allgemeine Wettbewerbsrecht, welches insbesondere durch eine langjährige und umfangreiche Rechtsprechung konkretisiert wurde, grundsätzlich auch im Internet-Verkehr ohne Einschränkungen gilt. Deshalb konzentriert sich dieser Teil auf ausgewählte Probleme des onlinespezifischen Wettbewerbsrechts.</w:t>
      </w:r>
    </w:p>
    <w:p w:rsidR="007C51F2" w:rsidRPr="00E8448D" w:rsidRDefault="007C51F2"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6"/>
        </w:numPr>
        <w:spacing w:line="276" w:lineRule="auto"/>
        <w:jc w:val="both"/>
        <w:rPr>
          <w:rFonts w:ascii="Book Antiqua" w:hAnsi="Book Antiqua"/>
          <w:b/>
          <w:sz w:val="24"/>
          <w:szCs w:val="24"/>
        </w:rPr>
      </w:pPr>
      <w:r w:rsidRPr="00E8448D">
        <w:rPr>
          <w:rFonts w:ascii="Book Antiqua" w:hAnsi="Book Antiqua"/>
          <w:b/>
          <w:sz w:val="24"/>
          <w:szCs w:val="24"/>
        </w:rPr>
        <w:t>Versendung von E-Mail-Werbung</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Gerade die E-Mail ist im Wettbewerb ebenso beliebt, wie auch gefährlich. Mit Hilfe der E-Mail lassen sich schnell und kostengünstig eine Reihe von (potentiellen) Kunden erreichen und informieren.</w:t>
      </w:r>
    </w:p>
    <w:p w:rsidR="0070102F" w:rsidRPr="00E8448D" w:rsidRDefault="00835987" w:rsidP="001B30EA">
      <w:pPr>
        <w:spacing w:line="276" w:lineRule="auto"/>
        <w:jc w:val="both"/>
        <w:rPr>
          <w:rFonts w:ascii="Book Antiqua" w:hAnsi="Book Antiqua"/>
          <w:sz w:val="24"/>
          <w:szCs w:val="24"/>
        </w:rPr>
      </w:pPr>
      <w:r w:rsidRPr="00E8448D">
        <w:rPr>
          <w:rFonts w:ascii="Book Antiqua" w:hAnsi="Book Antiqua"/>
          <w:sz w:val="24"/>
          <w:szCs w:val="24"/>
        </w:rPr>
        <w:t>Unauf</w:t>
      </w:r>
      <w:r w:rsidR="0070102F" w:rsidRPr="00E8448D">
        <w:rPr>
          <w:rFonts w:ascii="Book Antiqua" w:hAnsi="Book Antiqua"/>
          <w:sz w:val="24"/>
          <w:szCs w:val="24"/>
        </w:rPr>
        <w:t xml:space="preserve">geforderte E-Mail-Werbung ist ohne ausdrückliche vorherige Einwilligung des Empfängers gem. § 7 Abs. 2 Nr. 3 UWG als unzumutbare Belästigung anzusehen (sog. </w:t>
      </w:r>
      <w:proofErr w:type="spellStart"/>
      <w:r w:rsidR="0070102F" w:rsidRPr="00E8448D">
        <w:rPr>
          <w:rFonts w:ascii="Book Antiqua" w:hAnsi="Book Antiqua"/>
          <w:sz w:val="24"/>
          <w:szCs w:val="24"/>
        </w:rPr>
        <w:t>Opt</w:t>
      </w:r>
      <w:proofErr w:type="spellEnd"/>
      <w:r w:rsidR="0070102F" w:rsidRPr="00E8448D">
        <w:rPr>
          <w:rFonts w:ascii="Book Antiqua" w:hAnsi="Book Antiqua"/>
          <w:sz w:val="24"/>
          <w:szCs w:val="24"/>
        </w:rPr>
        <w:t xml:space="preserve">-In-Lösung). Der deutsche Gesetzgeber verzichtet hierbei auf eine Differenzierung zwischen Verbraucher und Gewerbetreibenden, mit der Begründung, dass die E-Mail-Werbung gerade im geschäftlichen Verkehr einen stark belästigenden Charakter hat (Martinek/Semler/Flohr, </w:t>
      </w:r>
      <w:r w:rsidR="0070102F" w:rsidRPr="00E8448D">
        <w:rPr>
          <w:rFonts w:ascii="Book Antiqua" w:hAnsi="Book Antiqua"/>
          <w:i/>
          <w:sz w:val="24"/>
          <w:szCs w:val="24"/>
        </w:rPr>
        <w:t>Krüger/</w:t>
      </w:r>
      <w:proofErr w:type="spellStart"/>
      <w:r w:rsidR="0070102F" w:rsidRPr="00E8448D">
        <w:rPr>
          <w:rFonts w:ascii="Book Antiqua" w:hAnsi="Book Antiqua"/>
          <w:i/>
          <w:sz w:val="24"/>
          <w:szCs w:val="24"/>
        </w:rPr>
        <w:t>Peintinger</w:t>
      </w:r>
      <w:proofErr w:type="spellEnd"/>
      <w:r w:rsidR="0070102F" w:rsidRPr="00E8448D">
        <w:rPr>
          <w:rFonts w:ascii="Book Antiqua" w:hAnsi="Book Antiqua"/>
          <w:sz w:val="24"/>
          <w:szCs w:val="24"/>
        </w:rPr>
        <w:t xml:space="preserve">, § 36 </w:t>
      </w:r>
      <w:proofErr w:type="spellStart"/>
      <w:r w:rsidR="0070102F" w:rsidRPr="00E8448D">
        <w:rPr>
          <w:rFonts w:ascii="Book Antiqua" w:hAnsi="Book Antiqua"/>
          <w:sz w:val="24"/>
          <w:szCs w:val="24"/>
        </w:rPr>
        <w:t>Rn</w:t>
      </w:r>
      <w:proofErr w:type="spellEnd"/>
      <w:r w:rsidR="0070102F" w:rsidRPr="00E8448D">
        <w:rPr>
          <w:rFonts w:ascii="Book Antiqua" w:hAnsi="Book Antiqua"/>
          <w:sz w:val="24"/>
          <w:szCs w:val="24"/>
        </w:rPr>
        <w:t xml:space="preserve">. 237). Es bedarf folglich grundsätzlich für jede </w:t>
      </w:r>
      <w:r w:rsidR="0070102F" w:rsidRPr="00E8448D">
        <w:rPr>
          <w:rFonts w:ascii="Book Antiqua" w:hAnsi="Book Antiqua"/>
          <w:sz w:val="24"/>
          <w:szCs w:val="24"/>
          <w:u w:val="single"/>
        </w:rPr>
        <w:t>E-Mail eine gesonderte</w:t>
      </w:r>
      <w:r w:rsidR="0010647A" w:rsidRPr="00E8448D">
        <w:rPr>
          <w:rFonts w:ascii="Book Antiqua" w:hAnsi="Book Antiqua"/>
          <w:sz w:val="24"/>
          <w:szCs w:val="24"/>
          <w:u w:val="single"/>
        </w:rPr>
        <w:t xml:space="preserve"> vorherige</w:t>
      </w:r>
      <w:r w:rsidR="0070102F" w:rsidRPr="00E8448D">
        <w:rPr>
          <w:rFonts w:ascii="Book Antiqua" w:hAnsi="Book Antiqua"/>
          <w:sz w:val="24"/>
          <w:szCs w:val="24"/>
          <w:u w:val="single"/>
        </w:rPr>
        <w:t xml:space="preserve"> Einwilligung</w:t>
      </w:r>
      <w:r w:rsidR="0070102F" w:rsidRPr="00E8448D">
        <w:rPr>
          <w:rFonts w:ascii="Book Antiqua" w:hAnsi="Book Antiqua"/>
          <w:sz w:val="24"/>
          <w:szCs w:val="24"/>
        </w:rPr>
        <w:t>.</w:t>
      </w:r>
    </w:p>
    <w:p w:rsidR="0070102F" w:rsidRPr="00E8448D" w:rsidRDefault="0070102F" w:rsidP="00A20D50">
      <w:pPr>
        <w:spacing w:line="276" w:lineRule="auto"/>
        <w:jc w:val="both"/>
        <w:rPr>
          <w:rFonts w:ascii="Book Antiqua" w:hAnsi="Book Antiqua"/>
          <w:sz w:val="24"/>
          <w:szCs w:val="24"/>
        </w:rPr>
      </w:pPr>
      <w:r w:rsidRPr="00E8448D">
        <w:rPr>
          <w:rFonts w:ascii="Book Antiqua" w:hAnsi="Book Antiqua"/>
          <w:sz w:val="24"/>
          <w:szCs w:val="24"/>
        </w:rPr>
        <w:t xml:space="preserve">Das Gesetz sieht in § 7 Abs. 3 </w:t>
      </w:r>
      <w:r w:rsidR="0010647A" w:rsidRPr="00E8448D">
        <w:rPr>
          <w:rFonts w:ascii="Book Antiqua" w:hAnsi="Book Antiqua"/>
          <w:sz w:val="24"/>
          <w:szCs w:val="24"/>
        </w:rPr>
        <w:t xml:space="preserve">UWG </w:t>
      </w:r>
      <w:r w:rsidRPr="00E8448D">
        <w:rPr>
          <w:rFonts w:ascii="Book Antiqua" w:hAnsi="Book Antiqua"/>
          <w:sz w:val="24"/>
          <w:szCs w:val="24"/>
        </w:rPr>
        <w:t xml:space="preserve">eine </w:t>
      </w:r>
      <w:r w:rsidRPr="00E8448D">
        <w:rPr>
          <w:rFonts w:ascii="Book Antiqua" w:hAnsi="Book Antiqua"/>
          <w:b/>
          <w:sz w:val="24"/>
          <w:szCs w:val="24"/>
        </w:rPr>
        <w:t>Ausnahme</w:t>
      </w:r>
      <w:r w:rsidRPr="00E8448D">
        <w:rPr>
          <w:rFonts w:ascii="Book Antiqua" w:hAnsi="Book Antiqua"/>
          <w:sz w:val="24"/>
          <w:szCs w:val="24"/>
        </w:rPr>
        <w:t xml:space="preserve"> von der Einwilligungsbedürftigkeit für den Versand von Werbung per E-Mail an </w:t>
      </w:r>
      <w:r w:rsidRPr="00E8448D">
        <w:rPr>
          <w:rFonts w:ascii="Book Antiqua" w:hAnsi="Book Antiqua"/>
          <w:b/>
          <w:sz w:val="24"/>
          <w:szCs w:val="24"/>
        </w:rPr>
        <w:t>bestehende Kunden</w:t>
      </w:r>
      <w:r w:rsidRPr="00E8448D">
        <w:rPr>
          <w:rFonts w:ascii="Book Antiqua" w:hAnsi="Book Antiqua"/>
          <w:sz w:val="24"/>
          <w:szCs w:val="24"/>
        </w:rPr>
        <w:t xml:space="preserve"> vor. Dabei soll den Unternehmen Gelegenheit gegeben werden, vom strengen Einwilligungsprinzip in bestehenden Kundenbeziehungen abzuweichen. Bestandskunden haben vielfach auch ein Interesse an neuen Angeboten. Die Anforderungen, welche die Norm für die ausnahmsweise Zulässigkeit der Werbung per E-Mail stellt, sind jedoch so hoch, dass sie kaum erfüllbar sind. Hinzu tritt eine äußerst restriktive Rechtsprechung insbesondere im Hinblick auf die Ähnlichkeit der Produkte, für die gem. Abs. 3 geworben werden darf. Es sollte also mit dieser Ausnahmevorschrift nur sehr eingeschränkt Gebrauch gemacht werden.</w:t>
      </w:r>
    </w:p>
    <w:p w:rsidR="00387A3E" w:rsidRPr="00E8448D" w:rsidRDefault="00387A3E" w:rsidP="001B30EA">
      <w:pPr>
        <w:spacing w:line="276" w:lineRule="auto"/>
        <w:jc w:val="both"/>
        <w:rPr>
          <w:rFonts w:ascii="Book Antiqua" w:hAnsi="Book Antiqua"/>
          <w:sz w:val="24"/>
          <w:szCs w:val="24"/>
        </w:rPr>
      </w:pPr>
      <w:r w:rsidRPr="00E8448D">
        <w:rPr>
          <w:rFonts w:ascii="Book Antiqua" w:hAnsi="Book Antiqua"/>
          <w:sz w:val="24"/>
          <w:szCs w:val="24"/>
        </w:rPr>
        <w:t>Die Versendung unaufgeforderter E-Mail-Werbung stellt ein Wettbewerbsverstoß dar, welcher durch Mitbewerber abgemahnt werden kann. Diese Abmahnung erzeugt in vielen Fällen nicht unerhebliche Rechtsanwaltskosten, welche gem. § 12 Abs. 1 S. 2 UWG in berechtigten Fällen von der werbenden Person zu zahlen sind.</w:t>
      </w:r>
    </w:p>
    <w:p w:rsidR="0070102F" w:rsidRDefault="0070102F" w:rsidP="001B30EA">
      <w:pPr>
        <w:spacing w:line="276" w:lineRule="auto"/>
        <w:jc w:val="both"/>
        <w:rPr>
          <w:rFonts w:ascii="Book Antiqua" w:hAnsi="Book Antiqua"/>
          <w:sz w:val="24"/>
          <w:szCs w:val="24"/>
        </w:rPr>
      </w:pPr>
    </w:p>
    <w:p w:rsidR="00E8448D" w:rsidRPr="00E8448D" w:rsidRDefault="00E8448D"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6"/>
        </w:numPr>
        <w:spacing w:line="276" w:lineRule="auto"/>
        <w:jc w:val="both"/>
        <w:rPr>
          <w:rFonts w:ascii="Book Antiqua" w:hAnsi="Book Antiqua"/>
          <w:b/>
          <w:sz w:val="24"/>
          <w:szCs w:val="24"/>
        </w:rPr>
      </w:pPr>
      <w:r w:rsidRPr="00E8448D">
        <w:rPr>
          <w:rFonts w:ascii="Book Antiqua" w:hAnsi="Book Antiqua"/>
          <w:b/>
          <w:sz w:val="24"/>
          <w:szCs w:val="24"/>
        </w:rPr>
        <w:lastRenderedPageBreak/>
        <w:t>Haftung für Hyperlinks</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Mittlerweile kommt kaum eine Website mehr ohne Hyperlinks aus. Der Nutzer von Websites erwartet eine so umfassende Informationsbereitstellung, dass diese nicht mehr allein anhand einer Website abgebildet werden kann. Für die Haftung für Hyperlinks muss grundsätzlich unterschieden werden, ob sich der Verwender die Informationen </w:t>
      </w:r>
      <w:r w:rsidR="0010647A" w:rsidRPr="00E8448D">
        <w:rPr>
          <w:rFonts w:ascii="Book Antiqua" w:hAnsi="Book Antiqua"/>
          <w:sz w:val="24"/>
          <w:szCs w:val="24"/>
        </w:rPr>
        <w:t>„</w:t>
      </w:r>
      <w:r w:rsidRPr="00E8448D">
        <w:rPr>
          <w:rFonts w:ascii="Book Antiqua" w:hAnsi="Book Antiqua"/>
          <w:sz w:val="24"/>
          <w:szCs w:val="24"/>
        </w:rPr>
        <w:t>zu Eigen macht</w:t>
      </w:r>
      <w:r w:rsidR="0010647A" w:rsidRPr="00E8448D">
        <w:rPr>
          <w:rFonts w:ascii="Book Antiqua" w:hAnsi="Book Antiqua"/>
          <w:sz w:val="24"/>
          <w:szCs w:val="24"/>
        </w:rPr>
        <w:t>“</w:t>
      </w:r>
      <w:r w:rsidRPr="00E8448D">
        <w:rPr>
          <w:rFonts w:ascii="Book Antiqua" w:hAnsi="Book Antiqua"/>
          <w:sz w:val="24"/>
          <w:szCs w:val="24"/>
        </w:rPr>
        <w:t xml:space="preserve"> oder aber diese nur informatorisch zur Verfügung stellt.</w:t>
      </w:r>
    </w:p>
    <w:p w:rsidR="002576C9" w:rsidRPr="00E8448D" w:rsidRDefault="002576C9" w:rsidP="001B30EA">
      <w:pPr>
        <w:spacing w:line="276" w:lineRule="auto"/>
        <w:jc w:val="both"/>
        <w:rPr>
          <w:rFonts w:ascii="Book Antiqua" w:hAnsi="Book Antiqua"/>
          <w:sz w:val="24"/>
          <w:szCs w:val="24"/>
        </w:rPr>
      </w:pP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Eine Haftung für die Inhalte einer über einen Hyperlink erreichbaren Internetseite wird nicht allein dadurch begründet, dass das Setzen des Links eine geschäftliche Handlung des Unternehmers i.</w:t>
      </w:r>
      <w:r w:rsidRPr="00E8448D">
        <w:rPr>
          <w:rFonts w:ascii="Times New Roman" w:hAnsi="Times New Roman" w:cs="Times New Roman"/>
          <w:sz w:val="24"/>
          <w:szCs w:val="24"/>
        </w:rPr>
        <w:t> </w:t>
      </w:r>
      <w:r w:rsidRPr="00E8448D">
        <w:rPr>
          <w:rFonts w:ascii="Book Antiqua" w:hAnsi="Book Antiqua"/>
          <w:sz w:val="24"/>
          <w:szCs w:val="24"/>
        </w:rPr>
        <w:t>S.</w:t>
      </w:r>
      <w:r w:rsidRPr="00E8448D">
        <w:rPr>
          <w:rFonts w:ascii="Times New Roman" w:hAnsi="Times New Roman" w:cs="Times New Roman"/>
          <w:sz w:val="24"/>
          <w:szCs w:val="24"/>
        </w:rPr>
        <w:t> </w:t>
      </w:r>
      <w:r w:rsidRPr="00E8448D">
        <w:rPr>
          <w:rFonts w:ascii="Book Antiqua" w:hAnsi="Book Antiqua"/>
          <w:sz w:val="24"/>
          <w:szCs w:val="24"/>
        </w:rPr>
        <w:t xml:space="preserve">d. </w:t>
      </w:r>
      <w:r w:rsidRPr="00E8448D">
        <w:rPr>
          <w:rFonts w:ascii="Book Antiqua" w:hAnsi="Book Antiqua" w:cs="Book Antiqua"/>
          <w:sz w:val="24"/>
          <w:szCs w:val="24"/>
        </w:rPr>
        <w:t>§</w:t>
      </w:r>
      <w:r w:rsidRPr="00E8448D">
        <w:rPr>
          <w:rFonts w:ascii="Book Antiqua" w:hAnsi="Book Antiqua"/>
          <w:sz w:val="24"/>
          <w:szCs w:val="24"/>
        </w:rPr>
        <w:t xml:space="preserve"> 2 Abs. 1 Nr. 1 UWG darstellt. Wer sich fremde Informationen zu Eigen macht, auf die er mit Hilfe eines Hyperlinks verweist, haftet daf</w:t>
      </w:r>
      <w:r w:rsidRPr="00E8448D">
        <w:rPr>
          <w:rFonts w:ascii="Book Antiqua" w:hAnsi="Book Antiqua" w:cs="Book Antiqua"/>
          <w:sz w:val="24"/>
          <w:szCs w:val="24"/>
        </w:rPr>
        <w:t>ü</w:t>
      </w:r>
      <w:r w:rsidRPr="00E8448D">
        <w:rPr>
          <w:rFonts w:ascii="Book Antiqua" w:hAnsi="Book Antiqua"/>
          <w:sz w:val="24"/>
          <w:szCs w:val="24"/>
        </w:rPr>
        <w:t xml:space="preserve">r wie für eigene Informationen. </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Darüber hinaus kann, wer seinen Internetauftritt durch einen elektronischen Verweis mit wettbewerbswidrigen Inhalten auf den Internetseiten eines Dritten verknüpft, aufgrund der Verletzung einer wettbewerbsrechtlichen Verkehrspflicht in Anspruch genommen werden, wenn er zumutbare </w:t>
      </w:r>
      <w:r w:rsidR="0010647A" w:rsidRPr="00E8448D">
        <w:rPr>
          <w:rFonts w:ascii="Book Antiqua" w:hAnsi="Book Antiqua"/>
          <w:sz w:val="24"/>
          <w:szCs w:val="24"/>
        </w:rPr>
        <w:t xml:space="preserve">eigene </w:t>
      </w:r>
      <w:r w:rsidRPr="00E8448D">
        <w:rPr>
          <w:rFonts w:ascii="Book Antiqua" w:hAnsi="Book Antiqua"/>
          <w:sz w:val="24"/>
          <w:szCs w:val="24"/>
        </w:rPr>
        <w:t xml:space="preserve">Prüfungspflichten verletzt hat. </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Das Setzen eines Hyperlinks erhöht die Gefahr der Verbreitung etwaiger rechtswidriger Inhalte, die sich auf den Internetseiten Dritter befinden. Aus dieser Gefahrerhöhung resultieren wettbewerbsrechtliche Verkehrspflichten zur Eindämmung und Begrenzung </w:t>
      </w:r>
      <w:r w:rsidR="0010647A" w:rsidRPr="00E8448D">
        <w:rPr>
          <w:rFonts w:ascii="Book Antiqua" w:hAnsi="Book Antiqua"/>
          <w:sz w:val="24"/>
          <w:szCs w:val="24"/>
        </w:rPr>
        <w:t>dieser</w:t>
      </w:r>
      <w:r w:rsidRPr="00E8448D">
        <w:rPr>
          <w:rFonts w:ascii="Book Antiqua" w:hAnsi="Book Antiqua"/>
          <w:sz w:val="24"/>
          <w:szCs w:val="24"/>
        </w:rPr>
        <w:t xml:space="preserve"> Gefahr. Der Umfang der Prüfungspflichten richtet sich insbesondere nach dem Gesamtzusammenhang, in dem der Hyperlink verwendet wird, dem Zweck des Hyperlinks sowie danach, welche Kenntnis der den Verwender von Umständen hat, die </w:t>
      </w:r>
      <w:r w:rsidR="00DB60CD" w:rsidRPr="00E8448D">
        <w:rPr>
          <w:rFonts w:ascii="Book Antiqua" w:hAnsi="Book Antiqua"/>
          <w:sz w:val="24"/>
          <w:szCs w:val="24"/>
        </w:rPr>
        <w:t>dafürsprechen</w:t>
      </w:r>
      <w:r w:rsidRPr="00E8448D">
        <w:rPr>
          <w:rFonts w:ascii="Book Antiqua" w:hAnsi="Book Antiqua"/>
          <w:sz w:val="24"/>
          <w:szCs w:val="24"/>
        </w:rPr>
        <w:t>, dass die Webseite oder der Internetauftritt, auf die der Link verweist, rechtswidrigem Handeln dienen, und welche Möglichkeiten er hat, die Rechtswidrigkeit dieses Handelns in zumutbarer Weise</w:t>
      </w:r>
      <w:r w:rsidR="0010647A" w:rsidRPr="00E8448D">
        <w:rPr>
          <w:rFonts w:ascii="Book Antiqua" w:hAnsi="Book Antiqua"/>
          <w:sz w:val="24"/>
          <w:szCs w:val="24"/>
        </w:rPr>
        <w:t xml:space="preserve"> vorher</w:t>
      </w:r>
      <w:r w:rsidRPr="00E8448D">
        <w:rPr>
          <w:rFonts w:ascii="Book Antiqua" w:hAnsi="Book Antiqua"/>
          <w:sz w:val="24"/>
          <w:szCs w:val="24"/>
        </w:rPr>
        <w:t xml:space="preserve"> zu erkennen. </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Dabei ist jedoch auch zu berücksichtigen, dass die sinnvolle Nutzung der unübersehbaren Informationsfülle im Internet ohne den Einsatz von Hyperlinks zur Verknüpfung der dort zugänglichen Dateien weitgehend eingeschränkt wäre (Harte-</w:t>
      </w:r>
      <w:proofErr w:type="spellStart"/>
      <w:r w:rsidRPr="00E8448D">
        <w:rPr>
          <w:rFonts w:ascii="Book Antiqua" w:hAnsi="Book Antiqua"/>
          <w:sz w:val="24"/>
          <w:szCs w:val="24"/>
        </w:rPr>
        <w:t>Bavendamm</w:t>
      </w:r>
      <w:proofErr w:type="spellEnd"/>
      <w:r w:rsidRPr="00E8448D">
        <w:rPr>
          <w:rFonts w:ascii="Book Antiqua" w:hAnsi="Book Antiqua"/>
          <w:sz w:val="24"/>
          <w:szCs w:val="24"/>
        </w:rPr>
        <w:t xml:space="preserve">/Henning-Bodewig/Goldmann UWG § 8 </w:t>
      </w:r>
      <w:proofErr w:type="spellStart"/>
      <w:r w:rsidRPr="00E8448D">
        <w:rPr>
          <w:rFonts w:ascii="Book Antiqua" w:hAnsi="Book Antiqua"/>
          <w:sz w:val="24"/>
          <w:szCs w:val="24"/>
        </w:rPr>
        <w:t>Rn</w:t>
      </w:r>
      <w:proofErr w:type="spellEnd"/>
      <w:r w:rsidRPr="00E8448D">
        <w:rPr>
          <w:rFonts w:ascii="Book Antiqua" w:hAnsi="Book Antiqua"/>
          <w:sz w:val="24"/>
          <w:szCs w:val="24"/>
        </w:rPr>
        <w:t>. 523).</w:t>
      </w:r>
    </w:p>
    <w:p w:rsidR="00EC7013"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Zusammenfassend lassen sich also zwei Arten der Haftung unterscheiden. Sofern sich der Verwender die Informationen zu Eigen macht, haftet er streng wie für eigene Äußerungen. Handelt es sich jedoch um einen informatorischen Link treffen den Verwender „lediglich“ Prüfungspflichten. Auch das - immer wieder zu bestaunende - Setzen eines sog. „Disclaimers“ wonach für Inhalte von Hyperlinks </w:t>
      </w:r>
      <w:r w:rsidRPr="00E8448D">
        <w:rPr>
          <w:rFonts w:ascii="Book Antiqua" w:hAnsi="Book Antiqua"/>
          <w:sz w:val="24"/>
          <w:szCs w:val="24"/>
        </w:rPr>
        <w:lastRenderedPageBreak/>
        <w:t xml:space="preserve">keine Haftung übernommen wird, bedarf es nicht, da </w:t>
      </w:r>
      <w:r w:rsidR="0010647A" w:rsidRPr="00E8448D">
        <w:rPr>
          <w:rFonts w:ascii="Book Antiqua" w:hAnsi="Book Antiqua"/>
          <w:sz w:val="24"/>
          <w:szCs w:val="24"/>
        </w:rPr>
        <w:t>e</w:t>
      </w:r>
      <w:r w:rsidRPr="00E8448D">
        <w:rPr>
          <w:rFonts w:ascii="Book Antiqua" w:hAnsi="Book Antiqua"/>
          <w:sz w:val="24"/>
          <w:szCs w:val="24"/>
        </w:rPr>
        <w:t>s</w:t>
      </w:r>
      <w:r w:rsidR="0010647A" w:rsidRPr="00E8448D">
        <w:rPr>
          <w:rFonts w:ascii="Book Antiqua" w:hAnsi="Book Antiqua"/>
          <w:sz w:val="24"/>
          <w:szCs w:val="24"/>
        </w:rPr>
        <w:t xml:space="preserve"> hierdurch</w:t>
      </w:r>
      <w:r w:rsidRPr="00E8448D">
        <w:rPr>
          <w:rFonts w:ascii="Book Antiqua" w:hAnsi="Book Antiqua"/>
          <w:sz w:val="24"/>
          <w:szCs w:val="24"/>
        </w:rPr>
        <w:t xml:space="preserve"> nicht zu einer Haftungserleichterung kommt.</w:t>
      </w:r>
    </w:p>
    <w:p w:rsidR="0070102F" w:rsidRPr="00E8448D" w:rsidRDefault="00EC7013" w:rsidP="001B30EA">
      <w:pPr>
        <w:spacing w:line="276" w:lineRule="auto"/>
        <w:jc w:val="both"/>
        <w:rPr>
          <w:rFonts w:ascii="Book Antiqua" w:hAnsi="Book Antiqua"/>
          <w:sz w:val="24"/>
          <w:szCs w:val="24"/>
        </w:rPr>
      </w:pPr>
      <w:r w:rsidRPr="00E8448D">
        <w:rPr>
          <w:rFonts w:ascii="Book Antiqua" w:hAnsi="Book Antiqua"/>
          <w:sz w:val="24"/>
          <w:szCs w:val="24"/>
        </w:rPr>
        <w:t>Auch hier können sowohl Abmahnkosten als auch Schadensersatzansprüche derjenigen Person entstehen, welche durch die Verbreitung des Hyperlinks ein Schaden entstanden ist. Das Risiko eines solchen Schadens kann im Vorwege niemals eingeschätzt werden. Prüfen Sie daher immer die von Ihnen gesetzten Hyperlinks in regelmäßigen Abständen.</w:t>
      </w:r>
      <w:r w:rsidR="00573E04" w:rsidRPr="00E8448D">
        <w:rPr>
          <w:rFonts w:ascii="Book Antiqua" w:hAnsi="Book Antiqua"/>
          <w:sz w:val="24"/>
          <w:szCs w:val="24"/>
        </w:rPr>
        <w:t xml:space="preserve"> Dies gilt insbesondere auch für Hyperlinks mit Verlinkungen auf Seiten von Versicherern. Es kann dann unter Umständen vorkommen, dass Makler für Ihre </w:t>
      </w:r>
      <w:r w:rsidR="00E8448D" w:rsidRPr="00E8448D">
        <w:rPr>
          <w:rFonts w:ascii="Book Antiqua" w:hAnsi="Book Antiqua"/>
          <w:sz w:val="24"/>
          <w:szCs w:val="24"/>
        </w:rPr>
        <w:t>Hyperlinks auf der eigenen Seite haftungsverantwortlich sind.</w:t>
      </w:r>
    </w:p>
    <w:p w:rsidR="0070102F" w:rsidRPr="00E8448D" w:rsidRDefault="0070102F"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6"/>
        </w:numPr>
        <w:spacing w:line="276" w:lineRule="auto"/>
        <w:jc w:val="both"/>
        <w:rPr>
          <w:rFonts w:ascii="Book Antiqua" w:hAnsi="Book Antiqua"/>
          <w:b/>
          <w:sz w:val="24"/>
          <w:szCs w:val="24"/>
        </w:rPr>
      </w:pPr>
      <w:r w:rsidRPr="00E8448D">
        <w:rPr>
          <w:rFonts w:ascii="Book Antiqua" w:hAnsi="Book Antiqua"/>
          <w:b/>
          <w:sz w:val="24"/>
          <w:szCs w:val="24"/>
        </w:rPr>
        <w:t>Kenntlichmachung von Bild-Urhebern</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 xml:space="preserve">Immer wieder Gegenstand wettbewerbsrechtlicher Streitigkeiten ist die fehlende oder fehlerhafte </w:t>
      </w:r>
      <w:r w:rsidRPr="00E8448D">
        <w:rPr>
          <w:rFonts w:ascii="Book Antiqua" w:hAnsi="Book Antiqua"/>
          <w:sz w:val="24"/>
          <w:szCs w:val="24"/>
          <w:u w:val="single"/>
        </w:rPr>
        <w:t>Kenntlichmachung</w:t>
      </w:r>
      <w:r w:rsidRPr="00E8448D">
        <w:rPr>
          <w:rFonts w:ascii="Book Antiqua" w:hAnsi="Book Antiqua"/>
          <w:sz w:val="24"/>
          <w:szCs w:val="24"/>
        </w:rPr>
        <w:t xml:space="preserve"> von Bild-Urhebern. Um Abmahnungen und Schadensersatzansprüche zu umgehen, sollten nur Bilder verwendet werden, deren Rechte man erworben hat. Abzuraten ist von sog. „gratis Bildern mit Kennzeichnungspflicht“. Diese Bilder werden meist direkt auf Erstellungsseiten für Homepages angeboten. Nicht selten – so scheint es aus der Praxis heraus zumindest – versuchen dann die Urheber der Bilder mit Hilfe Ihrer Anwälte sämtliche falsch gekennzeichneten Bilder aufzuspüren und abzumahnen. Es hat sich dazu mittlerweile ein ganzes Geschäftsfeld entwickelt. Meist ist der Abmahnende dabei auch noch im Recht, sodass ein falsch gekennzeichnetes Bild ganz schnell ganz teuer werden kann. Um den Ansprüchen aus § 97 UrhG zu entgehen, sollten also die Bildrechte im Vorwege geregelt werden. Es empfiehlt sich also nicht „irgendein Bild aus Google“ zu verwenden.</w:t>
      </w:r>
    </w:p>
    <w:p w:rsidR="0070102F" w:rsidRPr="00E8448D" w:rsidRDefault="0070102F" w:rsidP="001B30EA">
      <w:pPr>
        <w:spacing w:line="276" w:lineRule="auto"/>
        <w:jc w:val="both"/>
        <w:rPr>
          <w:rFonts w:ascii="Book Antiqua" w:hAnsi="Book Antiqua"/>
          <w:sz w:val="24"/>
          <w:szCs w:val="24"/>
        </w:rPr>
      </w:pPr>
    </w:p>
    <w:p w:rsidR="0070102F" w:rsidRPr="00E8448D" w:rsidRDefault="0070102F" w:rsidP="001B30EA">
      <w:pPr>
        <w:pStyle w:val="Listenabsatz"/>
        <w:numPr>
          <w:ilvl w:val="0"/>
          <w:numId w:val="6"/>
        </w:numPr>
        <w:spacing w:line="276" w:lineRule="auto"/>
        <w:jc w:val="both"/>
        <w:rPr>
          <w:rFonts w:ascii="Book Antiqua" w:hAnsi="Book Antiqua"/>
          <w:b/>
          <w:sz w:val="24"/>
          <w:szCs w:val="24"/>
        </w:rPr>
      </w:pPr>
      <w:r w:rsidRPr="00E8448D">
        <w:rPr>
          <w:rFonts w:ascii="Book Antiqua" w:hAnsi="Book Antiqua"/>
          <w:b/>
          <w:sz w:val="24"/>
          <w:szCs w:val="24"/>
        </w:rPr>
        <w:t>Werbeaussagen auf Internetseiten</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Zu den Werbeaussagen auf Internetseiten lässt sich das gleiche sagen wie zu generellen Werbeaussagen. Es ergeben sich hier keine wirklichen Besonderheiten. Beachtet werden muss, dass alles</w:t>
      </w:r>
      <w:r w:rsidR="0010647A" w:rsidRPr="00E8448D">
        <w:rPr>
          <w:rFonts w:ascii="Book Antiqua" w:hAnsi="Book Antiqua"/>
          <w:sz w:val="24"/>
          <w:szCs w:val="24"/>
        </w:rPr>
        <w:t>,</w:t>
      </w:r>
      <w:r w:rsidRPr="00E8448D">
        <w:rPr>
          <w:rFonts w:ascii="Book Antiqua" w:hAnsi="Book Antiqua"/>
          <w:sz w:val="24"/>
          <w:szCs w:val="24"/>
        </w:rPr>
        <w:t xml:space="preserve"> womit Sie werben</w:t>
      </w:r>
      <w:r w:rsidR="0010647A" w:rsidRPr="00E8448D">
        <w:rPr>
          <w:rFonts w:ascii="Book Antiqua" w:hAnsi="Book Antiqua"/>
          <w:sz w:val="24"/>
          <w:szCs w:val="24"/>
        </w:rPr>
        <w:t>,</w:t>
      </w:r>
      <w:r w:rsidRPr="00E8448D">
        <w:rPr>
          <w:rFonts w:ascii="Book Antiqua" w:hAnsi="Book Antiqua"/>
          <w:sz w:val="24"/>
          <w:szCs w:val="24"/>
        </w:rPr>
        <w:t xml:space="preserve"> der</w:t>
      </w:r>
      <w:r w:rsidR="00E8448D" w:rsidRPr="00E8448D">
        <w:rPr>
          <w:rFonts w:ascii="Book Antiqua" w:hAnsi="Book Antiqua"/>
          <w:sz w:val="24"/>
          <w:szCs w:val="24"/>
        </w:rPr>
        <w:t xml:space="preserve"> (beweisbaren)</w:t>
      </w:r>
      <w:r w:rsidRPr="00E8448D">
        <w:rPr>
          <w:rFonts w:ascii="Book Antiqua" w:hAnsi="Book Antiqua"/>
          <w:sz w:val="24"/>
          <w:szCs w:val="24"/>
        </w:rPr>
        <w:t xml:space="preserve"> </w:t>
      </w:r>
      <w:r w:rsidRPr="00E8448D">
        <w:rPr>
          <w:rFonts w:ascii="Book Antiqua" w:hAnsi="Book Antiqua"/>
          <w:sz w:val="24"/>
          <w:szCs w:val="24"/>
          <w:u w:val="single"/>
        </w:rPr>
        <w:t>Wahrheit</w:t>
      </w:r>
      <w:r w:rsidRPr="00E8448D">
        <w:rPr>
          <w:rFonts w:ascii="Book Antiqua" w:hAnsi="Book Antiqua"/>
          <w:sz w:val="24"/>
          <w:szCs w:val="24"/>
        </w:rPr>
        <w:t xml:space="preserve"> entsprechen muss. </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Gerade mit Tradition und Allein- bzw. Spitzenstellung in der Branche wird vermehrt bei Vermittlern geworben. Dies ist im Internet umso gefährlicher, als dass sich diese Werbung auch durch jeden Mitbewerber abrufen lässt.</w:t>
      </w: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lastRenderedPageBreak/>
        <w:t xml:space="preserve">Eine Werbung mit dem Alter des Unternehmens erweckt gerade in den schnellen Zeiten des Internets und den </w:t>
      </w:r>
      <w:r w:rsidR="0010647A" w:rsidRPr="00E8448D">
        <w:rPr>
          <w:rFonts w:ascii="Book Antiqua" w:hAnsi="Book Antiqua"/>
          <w:sz w:val="24"/>
          <w:szCs w:val="24"/>
        </w:rPr>
        <w:t>„</w:t>
      </w:r>
      <w:r w:rsidRPr="00E8448D">
        <w:rPr>
          <w:rFonts w:ascii="Book Antiqua" w:hAnsi="Book Antiqua"/>
          <w:sz w:val="24"/>
          <w:szCs w:val="24"/>
        </w:rPr>
        <w:t>UGs</w:t>
      </w:r>
      <w:r w:rsidR="0010647A" w:rsidRPr="00E8448D">
        <w:rPr>
          <w:rFonts w:ascii="Book Antiqua" w:hAnsi="Book Antiqua"/>
          <w:sz w:val="24"/>
          <w:szCs w:val="24"/>
        </w:rPr>
        <w:t>“</w:t>
      </w:r>
      <w:r w:rsidRPr="00E8448D">
        <w:rPr>
          <w:rFonts w:ascii="Book Antiqua" w:hAnsi="Book Antiqua"/>
          <w:sz w:val="24"/>
          <w:szCs w:val="24"/>
        </w:rPr>
        <w:t xml:space="preserve"> bei den angesprochenen Verkehrskreisen positive Assoziationen. Der potentielle Versicherungsnehmer misst dem Unternehmer dann viel Erfahrung, wirtschaftliche Leistungskraft, Zuverlässigkeit und langjährige Wertschätzung des Kundenkreises bei. Damit enthält die Alterswerbung versteckte Qualitätssignale, die geeignet sind, die Kaufentscheidungen der Verbraucher zu beeinflussen (BGH GRUR 2003, 628, 629 – Klosterbrauerei). Wer sein Unternehmen in der Werbung älter macht, als es in Wirklichkeit ist, verstößt daher grundsätzlich gegen § 5 UWG. Ebenso wenig darf sich ein Unternehmen als das „älteste am Platz“ (OLG Köln WRP 1996, 328) bezeichnen, wenn es nicht älter als ein Konkurrenzunternehmen ist (Köhler/</w:t>
      </w:r>
      <w:proofErr w:type="spellStart"/>
      <w:r w:rsidRPr="00E8448D">
        <w:rPr>
          <w:rFonts w:ascii="Book Antiqua" w:hAnsi="Book Antiqua"/>
          <w:sz w:val="24"/>
          <w:szCs w:val="24"/>
        </w:rPr>
        <w:t>Bornkamm</w:t>
      </w:r>
      <w:proofErr w:type="spellEnd"/>
      <w:r w:rsidRPr="00E8448D">
        <w:rPr>
          <w:rFonts w:ascii="Book Antiqua" w:hAnsi="Book Antiqua"/>
          <w:sz w:val="24"/>
          <w:szCs w:val="24"/>
        </w:rPr>
        <w:t xml:space="preserve">, </w:t>
      </w:r>
      <w:proofErr w:type="spellStart"/>
      <w:r w:rsidRPr="00E8448D">
        <w:rPr>
          <w:rFonts w:ascii="Book Antiqua" w:hAnsi="Book Antiqua"/>
          <w:i/>
          <w:sz w:val="24"/>
          <w:szCs w:val="24"/>
        </w:rPr>
        <w:t>Bornkamm</w:t>
      </w:r>
      <w:proofErr w:type="spellEnd"/>
      <w:r w:rsidRPr="00E8448D">
        <w:rPr>
          <w:rFonts w:ascii="Book Antiqua" w:hAnsi="Book Antiqua"/>
          <w:sz w:val="24"/>
          <w:szCs w:val="24"/>
        </w:rPr>
        <w:t xml:space="preserve">, § 5 </w:t>
      </w:r>
      <w:proofErr w:type="spellStart"/>
      <w:r w:rsidRPr="00E8448D">
        <w:rPr>
          <w:rFonts w:ascii="Book Antiqua" w:hAnsi="Book Antiqua"/>
          <w:sz w:val="24"/>
          <w:szCs w:val="24"/>
        </w:rPr>
        <w:t>Rn</w:t>
      </w:r>
      <w:proofErr w:type="spellEnd"/>
      <w:r w:rsidRPr="00E8448D">
        <w:rPr>
          <w:rFonts w:ascii="Book Antiqua" w:hAnsi="Book Antiqua"/>
          <w:sz w:val="24"/>
          <w:szCs w:val="24"/>
        </w:rPr>
        <w:t>. 5.55).</w:t>
      </w:r>
    </w:p>
    <w:p w:rsidR="002576C9" w:rsidRPr="00E8448D" w:rsidRDefault="002576C9" w:rsidP="001B30EA">
      <w:pPr>
        <w:spacing w:line="276" w:lineRule="auto"/>
        <w:jc w:val="both"/>
        <w:rPr>
          <w:rFonts w:ascii="Book Antiqua" w:hAnsi="Book Antiqua"/>
          <w:sz w:val="24"/>
          <w:szCs w:val="24"/>
        </w:rPr>
      </w:pPr>
    </w:p>
    <w:p w:rsidR="0070102F" w:rsidRPr="00E8448D" w:rsidRDefault="0070102F" w:rsidP="001B30EA">
      <w:pPr>
        <w:spacing w:line="276" w:lineRule="auto"/>
        <w:jc w:val="both"/>
        <w:rPr>
          <w:rFonts w:ascii="Book Antiqua" w:hAnsi="Book Antiqua"/>
          <w:sz w:val="24"/>
          <w:szCs w:val="24"/>
        </w:rPr>
      </w:pPr>
      <w:r w:rsidRPr="00E8448D">
        <w:rPr>
          <w:rFonts w:ascii="Book Antiqua" w:hAnsi="Book Antiqua"/>
          <w:sz w:val="24"/>
          <w:szCs w:val="24"/>
        </w:rPr>
        <w:t>Nicht selten werben Unternehmen, welche im Vertrieb tätig sind, damit eine Spitzenstellung einzunehmen. Dabei reiht sich ein Superlativ nach dem anderen ein. Hier sollte Vorsicht geboten sein. Die Grenze zwischen irreführenden Alleinstellungsmerkmalen und noch erlaubter Werbung ist fließend und auch nicht immer für den Juristen einschätzbar. Besonders Begriffe wie „unerreicht“, „unschlagbar“, „führend“, „die erfahrensten“ oder auch „sichersten“ sollte Vorsicht geboten sein. Hier ist immer anhand des Einzelfalls zu beurteilen, ob diese Art der Werbung noch erlaubt ist.</w:t>
      </w:r>
    </w:p>
    <w:p w:rsidR="00267512" w:rsidRPr="00E8448D" w:rsidRDefault="00267512" w:rsidP="001B30EA">
      <w:pPr>
        <w:spacing w:line="276" w:lineRule="auto"/>
        <w:jc w:val="both"/>
        <w:rPr>
          <w:rFonts w:ascii="Book Antiqua" w:hAnsi="Book Antiqua"/>
          <w:sz w:val="24"/>
          <w:szCs w:val="24"/>
        </w:rPr>
      </w:pPr>
      <w:r w:rsidRPr="00E8448D">
        <w:rPr>
          <w:rFonts w:ascii="Book Antiqua" w:hAnsi="Book Antiqua"/>
          <w:sz w:val="24"/>
          <w:szCs w:val="24"/>
        </w:rPr>
        <w:t xml:space="preserve">Eine Abmahnung ist hier </w:t>
      </w:r>
      <w:r w:rsidR="00E8448D" w:rsidRPr="00E8448D">
        <w:rPr>
          <w:rFonts w:ascii="Book Antiqua" w:hAnsi="Book Antiqua"/>
          <w:sz w:val="24"/>
          <w:szCs w:val="24"/>
        </w:rPr>
        <w:t xml:space="preserve">ebenfalls </w:t>
      </w:r>
      <w:r w:rsidRPr="00E8448D">
        <w:rPr>
          <w:rFonts w:ascii="Book Antiqua" w:hAnsi="Book Antiqua"/>
          <w:sz w:val="24"/>
          <w:szCs w:val="24"/>
        </w:rPr>
        <w:t>oftmals die Folge. Die Kosten der Abmahnung werden dann Ihnen in Rechnung gestellt. Die Kosten können dabei schnell einmal mehrere Tausend Euro betragen.</w:t>
      </w:r>
    </w:p>
    <w:p w:rsidR="00882676" w:rsidRPr="00E8448D" w:rsidRDefault="00882676" w:rsidP="001B30EA">
      <w:pPr>
        <w:spacing w:line="276" w:lineRule="auto"/>
        <w:jc w:val="both"/>
        <w:rPr>
          <w:sz w:val="24"/>
          <w:szCs w:val="24"/>
        </w:rPr>
      </w:pPr>
    </w:p>
    <w:p w:rsidR="0010647A" w:rsidRPr="00E8448D" w:rsidRDefault="00401BD8" w:rsidP="001B30EA">
      <w:pPr>
        <w:spacing w:line="276" w:lineRule="auto"/>
        <w:ind w:firstLine="708"/>
        <w:jc w:val="both"/>
        <w:rPr>
          <w:rFonts w:ascii="Book Antiqua" w:hAnsi="Book Antiqua"/>
          <w:b/>
          <w:sz w:val="24"/>
          <w:szCs w:val="24"/>
        </w:rPr>
      </w:pPr>
      <w:r w:rsidRPr="00E8448D">
        <w:rPr>
          <w:rFonts w:ascii="Book Antiqua" w:hAnsi="Book Antiqua"/>
          <w:b/>
          <w:sz w:val="24"/>
          <w:szCs w:val="24"/>
        </w:rPr>
        <w:t>IV.</w:t>
      </w:r>
      <w:r w:rsidRPr="00E8448D">
        <w:rPr>
          <w:rFonts w:ascii="Book Antiqua" w:hAnsi="Book Antiqua"/>
          <w:b/>
          <w:sz w:val="24"/>
          <w:szCs w:val="24"/>
        </w:rPr>
        <w:tab/>
        <w:t>Zusammenfassung</w:t>
      </w:r>
      <w:r w:rsidR="00B02CE7" w:rsidRPr="00E8448D">
        <w:rPr>
          <w:rFonts w:ascii="Book Antiqua" w:hAnsi="Book Antiqua"/>
          <w:b/>
          <w:sz w:val="24"/>
          <w:szCs w:val="24"/>
        </w:rPr>
        <w:t xml:space="preserve"> &amp; Ausblick IDD</w:t>
      </w:r>
    </w:p>
    <w:p w:rsidR="002576C9" w:rsidRPr="00E8448D" w:rsidRDefault="002576C9" w:rsidP="001B30EA">
      <w:pPr>
        <w:spacing w:line="276" w:lineRule="auto"/>
        <w:jc w:val="both"/>
        <w:rPr>
          <w:rFonts w:ascii="Book Antiqua" w:hAnsi="Book Antiqua"/>
          <w:b/>
          <w:sz w:val="24"/>
          <w:szCs w:val="24"/>
        </w:rPr>
      </w:pPr>
    </w:p>
    <w:p w:rsidR="00B02CE7" w:rsidRPr="00E8448D" w:rsidRDefault="005C270F" w:rsidP="001B30EA">
      <w:pPr>
        <w:spacing w:line="276" w:lineRule="auto"/>
        <w:jc w:val="both"/>
        <w:rPr>
          <w:rFonts w:ascii="Book Antiqua" w:hAnsi="Book Antiqua"/>
          <w:sz w:val="24"/>
          <w:szCs w:val="24"/>
        </w:rPr>
      </w:pPr>
      <w:r w:rsidRPr="00E8448D">
        <w:rPr>
          <w:rFonts w:ascii="Book Antiqua" w:hAnsi="Book Antiqua"/>
          <w:sz w:val="24"/>
          <w:szCs w:val="24"/>
        </w:rPr>
        <w:t>Bei der Gestaltung der Website sollte insbesondere auf eine ordentliche Mitteilung der Erstinformation geachtet werden. Ferner bedarf es eines ordentlichen Impressums.</w:t>
      </w:r>
      <w:r w:rsidR="00E74740" w:rsidRPr="00E8448D">
        <w:rPr>
          <w:rFonts w:ascii="Book Antiqua" w:hAnsi="Book Antiqua"/>
          <w:sz w:val="24"/>
          <w:szCs w:val="24"/>
        </w:rPr>
        <w:t xml:space="preserve"> Ihre Website sollte zumindest einmal anhand der Checkliste überprüft werden.</w:t>
      </w:r>
      <w:r w:rsidRPr="00E8448D">
        <w:rPr>
          <w:rFonts w:ascii="Book Antiqua" w:hAnsi="Book Antiqua"/>
          <w:sz w:val="24"/>
          <w:szCs w:val="24"/>
        </w:rPr>
        <w:t xml:space="preserve"> Der Maklervertrag unterscheidet sich dabei grundsätzlich kaum von einem herkömmlichen Maklervertrag.</w:t>
      </w:r>
      <w:r w:rsidR="00267512" w:rsidRPr="00E8448D">
        <w:rPr>
          <w:rFonts w:ascii="Book Antiqua" w:hAnsi="Book Antiqua"/>
          <w:sz w:val="24"/>
          <w:szCs w:val="24"/>
        </w:rPr>
        <w:t xml:space="preserve"> Lassen Sie sich die Maklervollmacht immer Original unterschreiben.</w:t>
      </w:r>
      <w:r w:rsidRPr="00E8448D">
        <w:rPr>
          <w:rFonts w:ascii="Book Antiqua" w:hAnsi="Book Antiqua"/>
          <w:sz w:val="24"/>
          <w:szCs w:val="24"/>
        </w:rPr>
        <w:t xml:space="preserve"> Es muss lediglich auf das etwaige Widerrufsrecht hingewiesen werden sowie, dass mit der Ausführung des Vertrages schon begonnen wird und der Kunde daher sein Widerrufsrecht verlieren könnte.</w:t>
      </w:r>
      <w:r w:rsidR="00E94B9E" w:rsidRPr="00E8448D">
        <w:rPr>
          <w:rFonts w:ascii="Book Antiqua" w:hAnsi="Book Antiqua"/>
          <w:sz w:val="24"/>
          <w:szCs w:val="24"/>
        </w:rPr>
        <w:t xml:space="preserve"> Auch die eigentliche Beratung des Kunden unterscheidet sich dabei nicht von der üblichen. Ob eine Beratung auch </w:t>
      </w:r>
      <w:r w:rsidR="00E94B9E" w:rsidRPr="00E8448D">
        <w:rPr>
          <w:rFonts w:ascii="Book Antiqua" w:hAnsi="Book Antiqua"/>
          <w:sz w:val="24"/>
          <w:szCs w:val="24"/>
        </w:rPr>
        <w:lastRenderedPageBreak/>
        <w:t xml:space="preserve">bei der Online-Vermittlung stattzufinden hat, ist Gegenstand juristischer Diskussionen und kann daher noch nicht abschließend beurteilt werden. Aus Gründen der Rechtssicherheit ist daher eine Beratung zu empfehlen. Sämtliche vom Vermittler herauszugebenden Dokumente können dabei als E-Mail an den Kunden übermittelt werden. </w:t>
      </w:r>
      <w:r w:rsidR="005812C1" w:rsidRPr="00E8448D">
        <w:rPr>
          <w:rFonts w:ascii="Book Antiqua" w:hAnsi="Book Antiqua"/>
          <w:sz w:val="24"/>
          <w:szCs w:val="24"/>
        </w:rPr>
        <w:t xml:space="preserve">Aus wettbewerbsrechtlicher Sicht ist unbedingt auf die ordnungsgemäße Kenntlichmachung von Fotos und Bildern zu achten. </w:t>
      </w:r>
      <w:r w:rsidR="004F2937" w:rsidRPr="00E8448D">
        <w:rPr>
          <w:rFonts w:ascii="Book Antiqua" w:hAnsi="Book Antiqua"/>
          <w:sz w:val="24"/>
          <w:szCs w:val="24"/>
        </w:rPr>
        <w:t xml:space="preserve">In jedem Falle sollte ein spezialisierter Rechtsanwalt bei jeder größeren Veränderung der Website diese einmal prüfen. So minimiert sich die Wahrscheinlichkeit teurer </w:t>
      </w:r>
      <w:r w:rsidR="00E84209" w:rsidRPr="00E8448D">
        <w:rPr>
          <w:rFonts w:ascii="Book Antiqua" w:hAnsi="Book Antiqua"/>
          <w:sz w:val="24"/>
          <w:szCs w:val="24"/>
        </w:rPr>
        <w:t>„</w:t>
      </w:r>
      <w:r w:rsidR="004F2937" w:rsidRPr="00E8448D">
        <w:rPr>
          <w:rFonts w:ascii="Book Antiqua" w:hAnsi="Book Antiqua"/>
          <w:sz w:val="24"/>
          <w:szCs w:val="24"/>
        </w:rPr>
        <w:t>Überraschungen</w:t>
      </w:r>
      <w:r w:rsidR="00E84209" w:rsidRPr="00E8448D">
        <w:rPr>
          <w:rFonts w:ascii="Book Antiqua" w:hAnsi="Book Antiqua"/>
          <w:sz w:val="24"/>
          <w:szCs w:val="24"/>
        </w:rPr>
        <w:t>“</w:t>
      </w:r>
      <w:r w:rsidR="004F2937" w:rsidRPr="00E8448D">
        <w:rPr>
          <w:rFonts w:ascii="Book Antiqua" w:hAnsi="Book Antiqua"/>
          <w:sz w:val="24"/>
          <w:szCs w:val="24"/>
        </w:rPr>
        <w:t>.</w:t>
      </w:r>
    </w:p>
    <w:p w:rsidR="007518F4" w:rsidRPr="00E8448D" w:rsidRDefault="007518F4" w:rsidP="001B30EA">
      <w:pPr>
        <w:spacing w:line="276" w:lineRule="auto"/>
        <w:jc w:val="both"/>
        <w:rPr>
          <w:rFonts w:ascii="Book Antiqua" w:hAnsi="Book Antiqua"/>
          <w:sz w:val="24"/>
          <w:szCs w:val="24"/>
        </w:rPr>
      </w:pPr>
    </w:p>
    <w:p w:rsidR="007518F4" w:rsidRPr="00E8448D" w:rsidRDefault="007518F4" w:rsidP="001B30EA">
      <w:pPr>
        <w:spacing w:line="276" w:lineRule="auto"/>
        <w:jc w:val="both"/>
        <w:rPr>
          <w:rFonts w:ascii="Book Antiqua" w:hAnsi="Book Antiqua"/>
          <w:sz w:val="24"/>
          <w:szCs w:val="24"/>
        </w:rPr>
      </w:pPr>
    </w:p>
    <w:p w:rsidR="00B02CE7" w:rsidRPr="00E8448D" w:rsidRDefault="00B02CE7" w:rsidP="001B30EA">
      <w:pPr>
        <w:spacing w:line="276" w:lineRule="auto"/>
        <w:jc w:val="both"/>
        <w:rPr>
          <w:rFonts w:ascii="Book Antiqua" w:hAnsi="Book Antiqua"/>
          <w:sz w:val="24"/>
          <w:szCs w:val="24"/>
        </w:rPr>
      </w:pPr>
      <w:r w:rsidRPr="00E8448D">
        <w:rPr>
          <w:rFonts w:ascii="Book Antiqua" w:hAnsi="Book Antiqua"/>
          <w:sz w:val="24"/>
          <w:szCs w:val="24"/>
        </w:rPr>
        <w:t>Bis Anfang 2018 muss die IDD in nationales zwingendes Recht umgesetzt werden. Dabei bemüht sich die IDD darum Informationspflichten elektronisch erfüllbar zu machen. Auch geht die IDD selbstverständlich davon aus, dass „elektronische Kommunikationsmittel“ zwischen Vermittler und Kunden genutzt werden. Die Umsetzung der IDD im Hinblick auf die Digitalisierung bleibt also spannend.</w:t>
      </w:r>
    </w:p>
    <w:p w:rsidR="00B02CE7" w:rsidRPr="00E8448D" w:rsidRDefault="00B02CE7" w:rsidP="00044442">
      <w:pPr>
        <w:spacing w:line="276" w:lineRule="auto"/>
        <w:rPr>
          <w:rFonts w:ascii="Book Antiqua" w:hAnsi="Book Antiqua"/>
          <w:sz w:val="24"/>
          <w:szCs w:val="24"/>
        </w:rPr>
      </w:pPr>
    </w:p>
    <w:p w:rsidR="00B02CE7" w:rsidRPr="00E8448D" w:rsidRDefault="00E8448D" w:rsidP="00044442">
      <w:pPr>
        <w:spacing w:line="276" w:lineRule="auto"/>
        <w:rPr>
          <w:rFonts w:ascii="Book Antiqua" w:hAnsi="Book Antiqua"/>
          <w:sz w:val="24"/>
          <w:szCs w:val="24"/>
        </w:rPr>
      </w:pPr>
      <w:r w:rsidRPr="00E8448D">
        <w:rPr>
          <w:rFonts w:ascii="Book Antiqua" w:hAnsi="Book Antiqua"/>
          <w:sz w:val="24"/>
          <w:szCs w:val="24"/>
        </w:rPr>
        <w:t>Hamburg den 01.Januar 2017</w:t>
      </w:r>
    </w:p>
    <w:p w:rsidR="00E8448D" w:rsidRPr="00E8448D" w:rsidRDefault="00E8448D" w:rsidP="00044442">
      <w:pPr>
        <w:spacing w:line="276" w:lineRule="auto"/>
        <w:rPr>
          <w:rFonts w:ascii="Book Antiqua" w:hAnsi="Book Antiqua"/>
          <w:sz w:val="24"/>
          <w:szCs w:val="24"/>
        </w:rPr>
      </w:pPr>
    </w:p>
    <w:p w:rsidR="00E8448D" w:rsidRPr="00E8448D" w:rsidRDefault="00E8448D" w:rsidP="00044442">
      <w:pPr>
        <w:spacing w:line="276" w:lineRule="auto"/>
        <w:rPr>
          <w:rFonts w:ascii="Book Antiqua" w:hAnsi="Book Antiqua"/>
          <w:sz w:val="24"/>
          <w:szCs w:val="24"/>
        </w:rPr>
      </w:pPr>
      <w:r w:rsidRPr="00E8448D">
        <w:rPr>
          <w:rFonts w:ascii="Book Antiqua" w:hAnsi="Book Antiqua"/>
          <w:sz w:val="24"/>
          <w:szCs w:val="24"/>
        </w:rPr>
        <w:t>Ihr,</w:t>
      </w:r>
    </w:p>
    <w:p w:rsidR="00E8448D" w:rsidRPr="00E8448D" w:rsidRDefault="00E8448D" w:rsidP="00044442">
      <w:pPr>
        <w:spacing w:line="276" w:lineRule="auto"/>
        <w:rPr>
          <w:rFonts w:ascii="Book Antiqua" w:hAnsi="Book Antiqua"/>
          <w:sz w:val="24"/>
          <w:szCs w:val="24"/>
        </w:rPr>
      </w:pPr>
    </w:p>
    <w:p w:rsidR="00E8448D" w:rsidRPr="00E8448D" w:rsidRDefault="00E8448D" w:rsidP="00044442">
      <w:pPr>
        <w:spacing w:line="276" w:lineRule="auto"/>
        <w:rPr>
          <w:rFonts w:ascii="Book Antiqua" w:hAnsi="Book Antiqua"/>
          <w:sz w:val="24"/>
          <w:szCs w:val="24"/>
        </w:rPr>
      </w:pPr>
      <w:r w:rsidRPr="00E8448D">
        <w:rPr>
          <w:rFonts w:ascii="Book Antiqua" w:hAnsi="Book Antiqua"/>
          <w:sz w:val="24"/>
          <w:szCs w:val="24"/>
        </w:rPr>
        <w:t>Stephan Michaelis</w:t>
      </w:r>
    </w:p>
    <w:p w:rsidR="00B02CE7" w:rsidRPr="00E8448D" w:rsidRDefault="00B02CE7" w:rsidP="00044442">
      <w:pPr>
        <w:spacing w:line="276" w:lineRule="auto"/>
        <w:rPr>
          <w:rFonts w:ascii="Book Antiqua" w:hAnsi="Book Antiqua"/>
          <w:sz w:val="24"/>
          <w:szCs w:val="24"/>
        </w:rPr>
      </w:pPr>
    </w:p>
    <w:p w:rsidR="00B02CE7" w:rsidRPr="00E8448D" w:rsidRDefault="00B02CE7" w:rsidP="00044442">
      <w:pPr>
        <w:spacing w:line="276" w:lineRule="auto"/>
        <w:rPr>
          <w:rFonts w:ascii="Book Antiqua" w:hAnsi="Book Antiqua"/>
          <w:sz w:val="24"/>
          <w:szCs w:val="24"/>
        </w:rPr>
      </w:pPr>
    </w:p>
    <w:p w:rsidR="00B02CE7" w:rsidRPr="00E8448D" w:rsidRDefault="00B02CE7" w:rsidP="00044442">
      <w:pPr>
        <w:spacing w:line="276" w:lineRule="auto"/>
        <w:ind w:firstLine="708"/>
        <w:rPr>
          <w:rFonts w:ascii="Book Antiqua" w:hAnsi="Book Antiqua"/>
          <w:sz w:val="24"/>
          <w:szCs w:val="24"/>
        </w:rPr>
      </w:pPr>
    </w:p>
    <w:p w:rsidR="00B02CE7" w:rsidRPr="00E8448D" w:rsidRDefault="00B02CE7" w:rsidP="00044442">
      <w:pPr>
        <w:spacing w:line="276" w:lineRule="auto"/>
        <w:ind w:firstLine="708"/>
        <w:rPr>
          <w:rFonts w:ascii="Book Antiqua" w:hAnsi="Book Antiqua"/>
          <w:sz w:val="24"/>
          <w:szCs w:val="24"/>
        </w:rPr>
      </w:pPr>
    </w:p>
    <w:p w:rsidR="00401BD8" w:rsidRPr="00E8448D" w:rsidRDefault="00401BD8" w:rsidP="00044442">
      <w:pPr>
        <w:spacing w:line="276" w:lineRule="auto"/>
        <w:ind w:firstLine="708"/>
        <w:rPr>
          <w:rFonts w:ascii="Book Antiqua" w:hAnsi="Book Antiqua"/>
          <w:sz w:val="24"/>
          <w:szCs w:val="24"/>
        </w:rPr>
      </w:pPr>
      <w:r w:rsidRPr="00E8448D">
        <w:rPr>
          <w:rFonts w:ascii="Book Antiqua" w:hAnsi="Book Antiqua"/>
          <w:sz w:val="24"/>
          <w:szCs w:val="24"/>
        </w:rPr>
        <w:t xml:space="preserve">Anlage: </w:t>
      </w:r>
    </w:p>
    <w:p w:rsidR="00401BD8" w:rsidRPr="00E8448D" w:rsidRDefault="004C1872" w:rsidP="00044442">
      <w:pPr>
        <w:spacing w:line="276" w:lineRule="auto"/>
        <w:ind w:firstLine="708"/>
        <w:rPr>
          <w:rFonts w:ascii="Book Antiqua" w:hAnsi="Book Antiqua"/>
          <w:sz w:val="24"/>
          <w:szCs w:val="24"/>
        </w:rPr>
      </w:pPr>
      <w:r>
        <w:rPr>
          <w:rFonts w:ascii="Book Antiqua" w:hAnsi="Book Antiqua"/>
          <w:sz w:val="24"/>
          <w:szCs w:val="24"/>
        </w:rPr>
        <w:t>Abschrift</w:t>
      </w:r>
      <w:r w:rsidR="00401BD8" w:rsidRPr="00E8448D">
        <w:rPr>
          <w:rFonts w:ascii="Book Antiqua" w:hAnsi="Book Antiqua"/>
          <w:sz w:val="24"/>
          <w:szCs w:val="24"/>
        </w:rPr>
        <w:t xml:space="preserve"> der genannten Paragraphen </w:t>
      </w:r>
    </w:p>
    <w:p w:rsidR="00ED2A01" w:rsidRDefault="003A4980" w:rsidP="00E8448D">
      <w:pPr>
        <w:spacing w:line="276" w:lineRule="auto"/>
        <w:ind w:firstLine="708"/>
        <w:rPr>
          <w:rFonts w:ascii="Book Antiqua" w:hAnsi="Book Antiqua"/>
          <w:sz w:val="24"/>
          <w:szCs w:val="24"/>
        </w:rPr>
      </w:pPr>
      <w:r w:rsidRPr="00E8448D">
        <w:rPr>
          <w:rFonts w:ascii="Book Antiqua" w:hAnsi="Book Antiqua"/>
          <w:sz w:val="24"/>
          <w:szCs w:val="24"/>
        </w:rPr>
        <w:t xml:space="preserve">Checkliste </w:t>
      </w:r>
      <w:r w:rsidR="00B02CE7" w:rsidRPr="00E8448D">
        <w:rPr>
          <w:rFonts w:ascii="Book Antiqua" w:hAnsi="Book Antiqua"/>
          <w:sz w:val="24"/>
          <w:szCs w:val="24"/>
        </w:rPr>
        <w:t>für die Website</w:t>
      </w:r>
      <w:r w:rsidR="004C1872">
        <w:rPr>
          <w:rFonts w:ascii="Book Antiqua" w:hAnsi="Book Antiqua"/>
          <w:sz w:val="24"/>
          <w:szCs w:val="24"/>
        </w:rPr>
        <w:t xml:space="preserve"> für den Makler und seinen Anwalt</w:t>
      </w:r>
    </w:p>
    <w:p w:rsidR="00ED2A01" w:rsidRDefault="00ED2A01">
      <w:pPr>
        <w:spacing w:after="200" w:line="276" w:lineRule="auto"/>
        <w:rPr>
          <w:rFonts w:ascii="Book Antiqua" w:hAnsi="Book Antiqua"/>
          <w:sz w:val="24"/>
          <w:szCs w:val="24"/>
        </w:rPr>
      </w:pPr>
      <w:r>
        <w:rPr>
          <w:rFonts w:ascii="Book Antiqua" w:hAnsi="Book Antiqua"/>
          <w:sz w:val="24"/>
          <w:szCs w:val="24"/>
        </w:rPr>
        <w:br w:type="page"/>
      </w:r>
    </w:p>
    <w:p w:rsidR="00401BD8" w:rsidRDefault="00401BD8" w:rsidP="00E8448D">
      <w:pPr>
        <w:spacing w:line="276" w:lineRule="auto"/>
        <w:ind w:firstLine="708"/>
        <w:rPr>
          <w:rFonts w:ascii="Book Antiqua" w:hAnsi="Book Antiqua"/>
          <w:sz w:val="24"/>
          <w:szCs w:val="24"/>
        </w:rPr>
      </w:pPr>
    </w:p>
    <w:p w:rsidR="00ED2A01" w:rsidRPr="00ED2A01" w:rsidRDefault="006C0577" w:rsidP="00ED2A01">
      <w:pPr>
        <w:spacing w:after="200" w:line="276" w:lineRule="auto"/>
        <w:rPr>
          <w:rFonts w:ascii="Book Antiqua" w:hAnsi="Book Antiqua"/>
          <w:b/>
          <w:sz w:val="24"/>
          <w:szCs w:val="24"/>
        </w:rPr>
      </w:pPr>
      <w:r>
        <w:rPr>
          <w:rFonts w:ascii="Book Antiqua" w:hAnsi="Book Antiqua"/>
          <w:b/>
          <w:sz w:val="24"/>
          <w:szCs w:val="24"/>
        </w:rPr>
        <w:t>Abschrift</w:t>
      </w:r>
      <w:r w:rsidR="00ED2A01" w:rsidRPr="00ED2A01">
        <w:rPr>
          <w:rFonts w:ascii="Book Antiqua" w:hAnsi="Book Antiqua"/>
          <w:b/>
          <w:sz w:val="24"/>
          <w:szCs w:val="24"/>
        </w:rPr>
        <w:t xml:space="preserve"> der genannten Paragraphen </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0" w:line="240" w:lineRule="auto"/>
        <w:outlineLvl w:val="2"/>
        <w:rPr>
          <w:rFonts w:ascii="Book Antiqua" w:eastAsia="Times New Roman" w:hAnsi="Book Antiqua" w:cs="Arial"/>
          <w:bCs/>
          <w:sz w:val="24"/>
          <w:szCs w:val="24"/>
          <w:lang w:eastAsia="de-DE"/>
        </w:rPr>
      </w:pPr>
      <w:r w:rsidRPr="006B78D4">
        <w:rPr>
          <w:rFonts w:ascii="Book Antiqua" w:hAnsi="Book Antiqua"/>
          <w:b/>
          <w:sz w:val="24"/>
          <w:szCs w:val="24"/>
        </w:rPr>
        <w:t xml:space="preserve">§ 11 VersVermV - </w:t>
      </w:r>
      <w:r w:rsidRPr="006B78D4">
        <w:rPr>
          <w:rFonts w:ascii="Book Antiqua" w:eastAsia="Times New Roman" w:hAnsi="Book Antiqua" w:cs="Arial"/>
          <w:b/>
          <w:bCs/>
          <w:sz w:val="24"/>
          <w:szCs w:val="24"/>
          <w:lang w:eastAsia="de-DE"/>
        </w:rPr>
        <w:t>Information des Versicherungsnehmers</w:t>
      </w:r>
    </w:p>
    <w:p w:rsidR="00ED2A01" w:rsidRPr="006B78D4" w:rsidRDefault="00ED2A01" w:rsidP="00ED2A01">
      <w:pPr>
        <w:spacing w:after="0" w:line="240" w:lineRule="auto"/>
        <w:rPr>
          <w:rFonts w:ascii="Book Antiqua" w:eastAsia="Times New Roman" w:hAnsi="Book Antiqua" w:cs="Times New Roman"/>
          <w:sz w:val="24"/>
          <w:szCs w:val="24"/>
          <w:lang w:eastAsia="de-DE"/>
        </w:rPr>
      </w:pPr>
    </w:p>
    <w:p w:rsidR="00ED2A01" w:rsidRPr="006B78D4" w:rsidRDefault="00ED2A01" w:rsidP="00ED2A01">
      <w:pPr>
        <w:spacing w:after="0" w:line="240" w:lineRule="auto"/>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(1) Der Gewerbetreibende hat dem Versicherungsnehmer beim ersten Geschäftskontakt folgende Angaben klar und verständlich in Textform mitzuteilen:</w:t>
      </w:r>
    </w:p>
    <w:p w:rsidR="00ED2A01" w:rsidRPr="006B78D4" w:rsidRDefault="00ED2A01" w:rsidP="00ED2A01">
      <w:pPr>
        <w:spacing w:after="0" w:line="240" w:lineRule="auto"/>
        <w:rPr>
          <w:rFonts w:ascii="Book Antiqua" w:eastAsia="Times New Roman" w:hAnsi="Book Antiqua" w:cs="Arial"/>
          <w:sz w:val="24"/>
          <w:szCs w:val="24"/>
          <w:lang w:eastAsia="de-DE"/>
        </w:rPr>
      </w:pPr>
    </w:p>
    <w:p w:rsidR="00ED2A01" w:rsidRPr="006B78D4" w:rsidRDefault="00ED2A01" w:rsidP="00ED2A01">
      <w:pPr>
        <w:spacing w:after="0" w:line="240" w:lineRule="auto"/>
        <w:ind w:right="75"/>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1. seinen Familiennamen und Vornamen sowie die Firma, Personenhandelsgesellschaften, in denen der Eintragungspflichtige als geschäftsführender Gesellschafter tätig ist, </w:t>
      </w:r>
    </w:p>
    <w:p w:rsidR="00ED2A01" w:rsidRPr="006B78D4" w:rsidRDefault="00ED2A01" w:rsidP="00ED2A01">
      <w:pPr>
        <w:spacing w:after="200" w:line="276" w:lineRule="auto"/>
        <w:rPr>
          <w:sz w:val="24"/>
          <w:szCs w:val="24"/>
          <w:lang w:eastAsia="de-DE"/>
        </w:rPr>
      </w:pPr>
    </w:p>
    <w:p w:rsidR="00ED2A01" w:rsidRPr="006B78D4" w:rsidRDefault="00ED2A01" w:rsidP="00ED2A01">
      <w:pPr>
        <w:spacing w:after="0" w:line="240" w:lineRule="auto"/>
        <w:ind w:right="75"/>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2. seine betriebliche Anschrift,</w:t>
      </w:r>
    </w:p>
    <w:p w:rsidR="00ED2A01" w:rsidRPr="006B78D4" w:rsidRDefault="00ED2A01" w:rsidP="00ED2A01">
      <w:pPr>
        <w:spacing w:after="0" w:line="240" w:lineRule="auto"/>
        <w:ind w:right="75"/>
        <w:rPr>
          <w:rFonts w:ascii="Book Antiqua" w:eastAsia="Times New Roman" w:hAnsi="Book Antiqua" w:cs="Arial"/>
          <w:sz w:val="24"/>
          <w:szCs w:val="24"/>
          <w:lang w:eastAsia="de-DE"/>
        </w:rPr>
      </w:pPr>
    </w:p>
    <w:p w:rsidR="00ED2A01" w:rsidRPr="006B78D4" w:rsidRDefault="00ED2A01" w:rsidP="00ED2A01">
      <w:pPr>
        <w:spacing w:after="0" w:line="240" w:lineRule="auto"/>
        <w:ind w:right="75"/>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3. ob er</w:t>
      </w:r>
    </w:p>
    <w:p w:rsidR="00ED2A01" w:rsidRPr="006B78D4" w:rsidRDefault="00ED2A01" w:rsidP="00ED2A01">
      <w:pPr>
        <w:spacing w:after="0" w:line="240" w:lineRule="auto"/>
        <w:ind w:right="75"/>
        <w:rPr>
          <w:rFonts w:ascii="Book Antiqua" w:eastAsia="Times New Roman" w:hAnsi="Book Antiqua" w:cs="Arial"/>
          <w:sz w:val="24"/>
          <w:szCs w:val="24"/>
          <w:lang w:eastAsia="de-DE"/>
        </w:rPr>
      </w:pPr>
    </w:p>
    <w:p w:rsidR="00ED2A01" w:rsidRPr="006B78D4" w:rsidRDefault="00ED2A01" w:rsidP="00ED2A01">
      <w:pPr>
        <w:spacing w:after="0" w:line="240" w:lineRule="auto"/>
        <w:ind w:right="75"/>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a)als Versicherungsmakler mit einer Erlaubnis nach § </w:t>
      </w:r>
      <w:hyperlink r:id="rId14" w:tooltip="§ 34d GewO" w:history="1">
        <w:r w:rsidRPr="006B78D4">
          <w:rPr>
            <w:rFonts w:ascii="Book Antiqua" w:eastAsia="Times New Roman" w:hAnsi="Book Antiqua" w:cs="Arial"/>
            <w:sz w:val="24"/>
            <w:szCs w:val="24"/>
            <w:lang w:eastAsia="de-DE"/>
          </w:rPr>
          <w:t>34d</w:t>
        </w:r>
      </w:hyperlink>
      <w:r w:rsidRPr="006B78D4">
        <w:rPr>
          <w:rFonts w:ascii="Book Antiqua" w:eastAsia="Times New Roman" w:hAnsi="Book Antiqua" w:cs="Arial"/>
          <w:sz w:val="24"/>
          <w:szCs w:val="24"/>
          <w:lang w:eastAsia="de-DE"/>
        </w:rPr>
        <w:t> Abs. 1 der </w:t>
      </w:r>
      <w:hyperlink r:id="rId15" w:history="1">
        <w:r w:rsidRPr="006B78D4">
          <w:rPr>
            <w:rFonts w:ascii="Book Antiqua" w:eastAsia="Times New Roman" w:hAnsi="Book Antiqua" w:cs="Arial"/>
            <w:sz w:val="24"/>
            <w:szCs w:val="24"/>
            <w:lang w:eastAsia="de-DE"/>
          </w:rPr>
          <w:t>Gewerbeordnung</w:t>
        </w:r>
      </w:hyperlink>
      <w:r w:rsidRPr="006B78D4">
        <w:rPr>
          <w:rFonts w:ascii="Book Antiqua" w:eastAsia="Times New Roman" w:hAnsi="Book Antiqua" w:cs="Arial"/>
          <w:sz w:val="24"/>
          <w:szCs w:val="24"/>
          <w:lang w:eastAsia="de-DE"/>
        </w:rPr>
        <w:t>,</w:t>
      </w:r>
    </w:p>
    <w:p w:rsidR="00ED2A01" w:rsidRPr="006B78D4" w:rsidRDefault="00ED2A01" w:rsidP="00ED2A01">
      <w:pPr>
        <w:spacing w:after="0" w:line="240" w:lineRule="auto"/>
        <w:ind w:right="75"/>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b)als Versicherungsvertreter</w:t>
      </w:r>
      <w:r w:rsidRPr="006B78D4">
        <w:rPr>
          <w:rFonts w:ascii="Book Antiqua" w:eastAsia="Times New Roman" w:hAnsi="Book Antiqua" w:cs="Arial"/>
          <w:sz w:val="24"/>
          <w:szCs w:val="24"/>
          <w:lang w:eastAsia="de-DE"/>
        </w:rPr>
        <w:br/>
      </w:r>
    </w:p>
    <w:p w:rsidR="00ED2A01" w:rsidRPr="006B78D4" w:rsidRDefault="00ED2A01" w:rsidP="00ED2A01">
      <w:pPr>
        <w:spacing w:after="0" w:line="240" w:lineRule="auto"/>
        <w:ind w:right="75"/>
        <w:rPr>
          <w:rFonts w:ascii="Book Antiqua" w:eastAsia="Times New Roman" w:hAnsi="Book Antiqua" w:cs="Arial"/>
          <w:sz w:val="24"/>
          <w:szCs w:val="24"/>
          <w:lang w:eastAsia="de-DE"/>
        </w:rPr>
      </w:pPr>
      <w:proofErr w:type="spellStart"/>
      <w:r w:rsidRPr="006B78D4">
        <w:rPr>
          <w:rFonts w:ascii="Book Antiqua" w:eastAsia="Times New Roman" w:hAnsi="Book Antiqua" w:cs="Arial"/>
          <w:sz w:val="24"/>
          <w:szCs w:val="24"/>
          <w:lang w:eastAsia="de-DE"/>
        </w:rPr>
        <w:t>aa</w:t>
      </w:r>
      <w:proofErr w:type="spellEnd"/>
      <w:r w:rsidRPr="006B78D4">
        <w:rPr>
          <w:rFonts w:ascii="Book Antiqua" w:eastAsia="Times New Roman" w:hAnsi="Book Antiqua" w:cs="Arial"/>
          <w:sz w:val="24"/>
          <w:szCs w:val="24"/>
          <w:lang w:eastAsia="de-DE"/>
        </w:rPr>
        <w:t>)</w:t>
      </w:r>
    </w:p>
    <w:p w:rsidR="00ED2A01" w:rsidRPr="006B78D4" w:rsidRDefault="00ED2A01" w:rsidP="00ED2A01">
      <w:pPr>
        <w:spacing w:after="240" w:line="240" w:lineRule="auto"/>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mit einer Erlaubnis nach § </w:t>
      </w:r>
      <w:hyperlink r:id="rId16" w:tooltip="§ 34d GewO" w:history="1">
        <w:r w:rsidRPr="006B78D4">
          <w:rPr>
            <w:rFonts w:ascii="Book Antiqua" w:eastAsia="Times New Roman" w:hAnsi="Book Antiqua" w:cs="Arial"/>
            <w:sz w:val="24"/>
            <w:szCs w:val="24"/>
            <w:lang w:eastAsia="de-DE"/>
          </w:rPr>
          <w:t>34d</w:t>
        </w:r>
      </w:hyperlink>
      <w:r w:rsidRPr="006B78D4">
        <w:rPr>
          <w:rFonts w:ascii="Book Antiqua" w:eastAsia="Times New Roman" w:hAnsi="Book Antiqua" w:cs="Arial"/>
          <w:sz w:val="24"/>
          <w:szCs w:val="24"/>
          <w:lang w:eastAsia="de-DE"/>
        </w:rPr>
        <w:t> Abs. 1 der </w:t>
      </w:r>
      <w:hyperlink r:id="rId17" w:history="1">
        <w:r w:rsidRPr="006B78D4">
          <w:rPr>
            <w:rFonts w:ascii="Book Antiqua" w:eastAsia="Times New Roman" w:hAnsi="Book Antiqua" w:cs="Arial"/>
            <w:sz w:val="24"/>
            <w:szCs w:val="24"/>
            <w:lang w:eastAsia="de-DE"/>
          </w:rPr>
          <w:t>Gewerbeordnung</w:t>
        </w:r>
      </w:hyperlink>
      <w:r w:rsidRPr="006B78D4">
        <w:rPr>
          <w:rFonts w:ascii="Book Antiqua" w:eastAsia="Times New Roman" w:hAnsi="Book Antiqua" w:cs="Arial"/>
          <w:sz w:val="24"/>
          <w:szCs w:val="24"/>
          <w:lang w:eastAsia="de-DE"/>
        </w:rPr>
        <w:t>,</w:t>
      </w:r>
    </w:p>
    <w:p w:rsidR="00ED2A01" w:rsidRPr="006B78D4" w:rsidRDefault="00ED2A01" w:rsidP="00ED2A01">
      <w:pPr>
        <w:spacing w:after="0" w:line="240" w:lineRule="auto"/>
        <w:ind w:right="75"/>
        <w:rPr>
          <w:rFonts w:ascii="Book Antiqua" w:eastAsia="Times New Roman" w:hAnsi="Book Antiqua" w:cs="Arial"/>
          <w:sz w:val="24"/>
          <w:szCs w:val="24"/>
          <w:lang w:eastAsia="de-DE"/>
        </w:rPr>
      </w:pPr>
      <w:proofErr w:type="spellStart"/>
      <w:r w:rsidRPr="006B78D4">
        <w:rPr>
          <w:rFonts w:ascii="Book Antiqua" w:eastAsia="Times New Roman" w:hAnsi="Book Antiqua" w:cs="Arial"/>
          <w:sz w:val="24"/>
          <w:szCs w:val="24"/>
          <w:lang w:eastAsia="de-DE"/>
        </w:rPr>
        <w:t>bb</w:t>
      </w:r>
      <w:proofErr w:type="spellEnd"/>
      <w:r w:rsidRPr="006B78D4">
        <w:rPr>
          <w:rFonts w:ascii="Book Antiqua" w:eastAsia="Times New Roman" w:hAnsi="Book Antiqua" w:cs="Arial"/>
          <w:sz w:val="24"/>
          <w:szCs w:val="24"/>
          <w:lang w:eastAsia="de-DE"/>
        </w:rPr>
        <w:t>)</w:t>
      </w:r>
    </w:p>
    <w:p w:rsidR="00ED2A01" w:rsidRPr="006B78D4" w:rsidRDefault="00ED2A01" w:rsidP="00ED2A01">
      <w:pPr>
        <w:spacing w:after="240" w:line="240" w:lineRule="auto"/>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nach § </w:t>
      </w:r>
      <w:hyperlink r:id="rId18" w:tooltip="§ 34d GewO" w:history="1">
        <w:r w:rsidRPr="006B78D4">
          <w:rPr>
            <w:rFonts w:ascii="Book Antiqua" w:eastAsia="Times New Roman" w:hAnsi="Book Antiqua" w:cs="Arial"/>
            <w:sz w:val="24"/>
            <w:szCs w:val="24"/>
            <w:lang w:eastAsia="de-DE"/>
          </w:rPr>
          <w:t>34d</w:t>
        </w:r>
      </w:hyperlink>
      <w:r w:rsidRPr="006B78D4">
        <w:rPr>
          <w:rFonts w:ascii="Book Antiqua" w:eastAsia="Times New Roman" w:hAnsi="Book Antiqua" w:cs="Arial"/>
          <w:sz w:val="24"/>
          <w:szCs w:val="24"/>
          <w:lang w:eastAsia="de-DE"/>
        </w:rPr>
        <w:t> Abs. 4 der </w:t>
      </w:r>
      <w:hyperlink r:id="rId19" w:history="1">
        <w:r w:rsidRPr="006B78D4">
          <w:rPr>
            <w:rFonts w:ascii="Book Antiqua" w:eastAsia="Times New Roman" w:hAnsi="Book Antiqua" w:cs="Arial"/>
            <w:sz w:val="24"/>
            <w:szCs w:val="24"/>
            <w:lang w:eastAsia="de-DE"/>
          </w:rPr>
          <w:t>Gewerbeordnung</w:t>
        </w:r>
      </w:hyperlink>
      <w:r w:rsidRPr="006B78D4">
        <w:rPr>
          <w:rFonts w:ascii="Book Antiqua" w:eastAsia="Times New Roman" w:hAnsi="Book Antiqua" w:cs="Arial"/>
          <w:sz w:val="24"/>
          <w:szCs w:val="24"/>
          <w:lang w:eastAsia="de-DE"/>
        </w:rPr>
        <w:t> als gebundener Versicherungsvertreter,</w:t>
      </w:r>
    </w:p>
    <w:p w:rsidR="00ED2A01" w:rsidRPr="006B78D4" w:rsidRDefault="00ED2A01" w:rsidP="00ED2A01">
      <w:pPr>
        <w:spacing w:after="0" w:line="240" w:lineRule="auto"/>
        <w:ind w:right="75"/>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cc)</w:t>
      </w:r>
    </w:p>
    <w:p w:rsidR="00ED2A01" w:rsidRPr="006B78D4" w:rsidRDefault="00ED2A01" w:rsidP="00ED2A01">
      <w:pPr>
        <w:spacing w:after="240" w:line="240" w:lineRule="auto"/>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mit Erlaubnisbefreiung nach § </w:t>
      </w:r>
      <w:hyperlink r:id="rId20" w:tooltip="§ 34d GewO" w:history="1">
        <w:r w:rsidRPr="006B78D4">
          <w:rPr>
            <w:rFonts w:ascii="Book Antiqua" w:eastAsia="Times New Roman" w:hAnsi="Book Antiqua" w:cs="Arial"/>
            <w:sz w:val="24"/>
            <w:szCs w:val="24"/>
            <w:lang w:eastAsia="de-DE"/>
          </w:rPr>
          <w:t>34d</w:t>
        </w:r>
      </w:hyperlink>
      <w:r w:rsidRPr="006B78D4">
        <w:rPr>
          <w:rFonts w:ascii="Book Antiqua" w:eastAsia="Times New Roman" w:hAnsi="Book Antiqua" w:cs="Arial"/>
          <w:sz w:val="24"/>
          <w:szCs w:val="24"/>
          <w:lang w:eastAsia="de-DE"/>
        </w:rPr>
        <w:t> Abs. 3 der </w:t>
      </w:r>
      <w:hyperlink r:id="rId21" w:history="1">
        <w:r w:rsidRPr="006B78D4">
          <w:rPr>
            <w:rFonts w:ascii="Book Antiqua" w:eastAsia="Times New Roman" w:hAnsi="Book Antiqua" w:cs="Arial"/>
            <w:sz w:val="24"/>
            <w:szCs w:val="24"/>
            <w:lang w:eastAsia="de-DE"/>
          </w:rPr>
          <w:t>Gewerbeordnung</w:t>
        </w:r>
      </w:hyperlink>
      <w:r w:rsidRPr="006B78D4">
        <w:rPr>
          <w:rFonts w:ascii="Book Antiqua" w:eastAsia="Times New Roman" w:hAnsi="Book Antiqua" w:cs="Arial"/>
          <w:sz w:val="24"/>
          <w:szCs w:val="24"/>
          <w:lang w:eastAsia="de-DE"/>
        </w:rPr>
        <w:t> als produktakzessorischer Versicherungsvertreter oder</w:t>
      </w:r>
    </w:p>
    <w:p w:rsidR="00ED2A01" w:rsidRPr="006B78D4" w:rsidRDefault="00ED2A01" w:rsidP="00ED2A01">
      <w:pPr>
        <w:spacing w:after="0" w:line="240" w:lineRule="auto"/>
        <w:ind w:right="75"/>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c)als Versicherungsberater mit Erlaubnis nach § </w:t>
      </w:r>
      <w:hyperlink r:id="rId22" w:tooltip="§ 34e GewO" w:history="1">
        <w:r w:rsidRPr="006B78D4">
          <w:rPr>
            <w:rFonts w:ascii="Book Antiqua" w:eastAsia="Times New Roman" w:hAnsi="Book Antiqua" w:cs="Arial"/>
            <w:sz w:val="24"/>
            <w:szCs w:val="24"/>
            <w:lang w:eastAsia="de-DE"/>
          </w:rPr>
          <w:t>34e</w:t>
        </w:r>
      </w:hyperlink>
      <w:r w:rsidRPr="006B78D4">
        <w:rPr>
          <w:rFonts w:ascii="Book Antiqua" w:eastAsia="Times New Roman" w:hAnsi="Book Antiqua" w:cs="Arial"/>
          <w:sz w:val="24"/>
          <w:szCs w:val="24"/>
          <w:lang w:eastAsia="de-DE"/>
        </w:rPr>
        <w:t> Abs. 1 der </w:t>
      </w:r>
      <w:hyperlink r:id="rId23" w:history="1">
        <w:r w:rsidRPr="006B78D4">
          <w:rPr>
            <w:rFonts w:ascii="Book Antiqua" w:eastAsia="Times New Roman" w:hAnsi="Book Antiqua" w:cs="Arial"/>
            <w:sz w:val="24"/>
            <w:szCs w:val="24"/>
            <w:lang w:eastAsia="de-DE"/>
          </w:rPr>
          <w:t>Gewerbeordnung</w:t>
        </w:r>
      </w:hyperlink>
    </w:p>
    <w:p w:rsidR="00ED2A01" w:rsidRPr="006B78D4" w:rsidRDefault="00ED2A01" w:rsidP="00ED2A01">
      <w:pPr>
        <w:spacing w:after="240" w:line="240" w:lineRule="auto"/>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bei der zuständigen Behörde gemeldet und in das Register nach § </w:t>
      </w:r>
      <w:hyperlink r:id="rId24" w:tooltip="§ 34d GewO" w:history="1">
        <w:r w:rsidRPr="006B78D4">
          <w:rPr>
            <w:rFonts w:ascii="Book Antiqua" w:eastAsia="Times New Roman" w:hAnsi="Book Antiqua" w:cs="Arial"/>
            <w:sz w:val="24"/>
            <w:szCs w:val="24"/>
            <w:lang w:eastAsia="de-DE"/>
          </w:rPr>
          <w:t>34d</w:t>
        </w:r>
      </w:hyperlink>
      <w:r w:rsidRPr="006B78D4">
        <w:rPr>
          <w:rFonts w:ascii="Book Antiqua" w:eastAsia="Times New Roman" w:hAnsi="Book Antiqua" w:cs="Arial"/>
          <w:sz w:val="24"/>
          <w:szCs w:val="24"/>
          <w:lang w:eastAsia="de-DE"/>
        </w:rPr>
        <w:t> Abs. 7 der </w:t>
      </w:r>
      <w:hyperlink r:id="rId25" w:history="1">
        <w:r w:rsidRPr="006B78D4">
          <w:rPr>
            <w:rFonts w:ascii="Book Antiqua" w:eastAsia="Times New Roman" w:hAnsi="Book Antiqua" w:cs="Arial"/>
            <w:sz w:val="24"/>
            <w:szCs w:val="24"/>
            <w:lang w:eastAsia="de-DE"/>
          </w:rPr>
          <w:t>Gewerbeordnung</w:t>
        </w:r>
      </w:hyperlink>
      <w:r w:rsidRPr="006B78D4">
        <w:rPr>
          <w:rFonts w:ascii="Book Antiqua" w:eastAsia="Times New Roman" w:hAnsi="Book Antiqua" w:cs="Arial"/>
          <w:sz w:val="24"/>
          <w:szCs w:val="24"/>
          <w:lang w:eastAsia="de-DE"/>
        </w:rPr>
        <w:t> eingetragen ist und wie sich diese Eintragung überprüfen lässt,</w:t>
      </w:r>
    </w:p>
    <w:p w:rsidR="00ED2A01" w:rsidRPr="006B78D4" w:rsidRDefault="00ED2A01" w:rsidP="00ED2A01">
      <w:pPr>
        <w:spacing w:after="0" w:line="240" w:lineRule="auto"/>
        <w:ind w:right="75"/>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4. Anschrift, Telefonnummer sowie die Internetadresse der gemeinsamen Stelle im Sinne des § </w:t>
      </w:r>
      <w:hyperlink r:id="rId26" w:tooltip="§ 11a GewO" w:history="1">
        <w:r w:rsidRPr="006B78D4">
          <w:rPr>
            <w:rFonts w:ascii="Book Antiqua" w:eastAsia="Times New Roman" w:hAnsi="Book Antiqua" w:cs="Arial"/>
            <w:sz w:val="24"/>
            <w:szCs w:val="24"/>
            <w:lang w:eastAsia="de-DE"/>
          </w:rPr>
          <w:t>11a</w:t>
        </w:r>
      </w:hyperlink>
      <w:r w:rsidRPr="006B78D4">
        <w:rPr>
          <w:rFonts w:ascii="Book Antiqua" w:eastAsia="Times New Roman" w:hAnsi="Book Antiqua" w:cs="Arial"/>
          <w:sz w:val="24"/>
          <w:szCs w:val="24"/>
          <w:lang w:eastAsia="de-DE"/>
        </w:rPr>
        <w:t> Abs. 1 der </w:t>
      </w:r>
      <w:hyperlink r:id="rId27" w:history="1">
        <w:r w:rsidRPr="006B78D4">
          <w:rPr>
            <w:rFonts w:ascii="Book Antiqua" w:eastAsia="Times New Roman" w:hAnsi="Book Antiqua" w:cs="Arial"/>
            <w:sz w:val="24"/>
            <w:szCs w:val="24"/>
            <w:lang w:eastAsia="de-DE"/>
          </w:rPr>
          <w:t>Gewerbeordnung</w:t>
        </w:r>
      </w:hyperlink>
      <w:r w:rsidRPr="006B78D4">
        <w:rPr>
          <w:rFonts w:ascii="Book Antiqua" w:eastAsia="Times New Roman" w:hAnsi="Book Antiqua" w:cs="Arial"/>
          <w:sz w:val="24"/>
          <w:szCs w:val="24"/>
          <w:lang w:eastAsia="de-DE"/>
        </w:rPr>
        <w:t> und die Registrierungsnummer, unter der er im Register eingetragen ist,</w:t>
      </w:r>
    </w:p>
    <w:p w:rsidR="00ED2A01" w:rsidRPr="006B78D4" w:rsidRDefault="00ED2A01" w:rsidP="00ED2A01">
      <w:pPr>
        <w:spacing w:after="0" w:line="240" w:lineRule="auto"/>
        <w:ind w:right="75"/>
        <w:rPr>
          <w:rFonts w:ascii="Book Antiqua" w:eastAsia="Times New Roman" w:hAnsi="Book Antiqua" w:cs="Arial"/>
          <w:sz w:val="24"/>
          <w:szCs w:val="24"/>
          <w:lang w:eastAsia="de-DE"/>
        </w:rPr>
      </w:pPr>
    </w:p>
    <w:p w:rsidR="00ED2A01" w:rsidRPr="006B78D4" w:rsidRDefault="00ED2A01" w:rsidP="00ED2A01">
      <w:pPr>
        <w:spacing w:after="0" w:line="240" w:lineRule="auto"/>
        <w:ind w:right="75"/>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5. die direkten oder indirekten Beteiligungen von über 10 Prozent, die er an den Stimmrechten oder am Kapital eines Versicherungsunternehmens besitzt,</w:t>
      </w:r>
    </w:p>
    <w:p w:rsidR="00ED2A01" w:rsidRPr="006B78D4" w:rsidRDefault="00ED2A01" w:rsidP="00ED2A01">
      <w:pPr>
        <w:spacing w:after="0" w:line="240" w:lineRule="auto"/>
        <w:ind w:right="75"/>
        <w:rPr>
          <w:rFonts w:ascii="Book Antiqua" w:eastAsia="Times New Roman" w:hAnsi="Book Antiqua" w:cs="Arial"/>
          <w:sz w:val="24"/>
          <w:szCs w:val="24"/>
          <w:lang w:eastAsia="de-DE"/>
        </w:rPr>
      </w:pPr>
    </w:p>
    <w:p w:rsidR="00ED2A01" w:rsidRPr="006B78D4" w:rsidRDefault="00ED2A01" w:rsidP="00ED2A01">
      <w:pPr>
        <w:spacing w:after="0" w:line="240" w:lineRule="auto"/>
        <w:ind w:right="75"/>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lastRenderedPageBreak/>
        <w:t>6. die Versicherungsunternehmen oder Mutterunternehmen eines Versicherungsunternehmens, die eine direkte oder indirekte Beteiligung von über 10 Prozent an den Stimmrechten oder am Kapital des Informationspflichtigen besitzen,</w:t>
      </w:r>
    </w:p>
    <w:p w:rsidR="00ED2A01" w:rsidRPr="006B78D4" w:rsidRDefault="00ED2A01" w:rsidP="00ED2A01">
      <w:pPr>
        <w:spacing w:after="0" w:line="240" w:lineRule="auto"/>
        <w:ind w:right="75"/>
        <w:rPr>
          <w:rFonts w:ascii="Book Antiqua" w:eastAsia="Times New Roman" w:hAnsi="Book Antiqua" w:cs="Arial"/>
          <w:sz w:val="24"/>
          <w:szCs w:val="24"/>
          <w:lang w:eastAsia="de-DE"/>
        </w:rPr>
      </w:pPr>
    </w:p>
    <w:p w:rsidR="00ED2A01" w:rsidRPr="006B78D4" w:rsidRDefault="00ED2A01" w:rsidP="00ED2A01">
      <w:pPr>
        <w:spacing w:after="0" w:line="240" w:lineRule="auto"/>
        <w:ind w:right="75"/>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7. die Anschrift der Schlichtungsstelle, die bei Streitigkeiten zwischen Versicherungsvermittlern oder Versicherungsberatern und Versicherungsnehmern angerufen werden kann.</w:t>
      </w:r>
    </w:p>
    <w:p w:rsidR="00ED2A01" w:rsidRPr="006B78D4" w:rsidRDefault="00ED2A01" w:rsidP="00ED2A01">
      <w:pPr>
        <w:spacing w:after="0" w:line="240" w:lineRule="auto"/>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(2) Der Informationspflichtige hat sicherzustellen, dass auch seine Mitarbeiter die Mitteilungspflichten nach Absatz 1 erfüllen.</w:t>
      </w:r>
    </w:p>
    <w:p w:rsidR="00ED2A01" w:rsidRPr="006B78D4" w:rsidRDefault="00ED2A01" w:rsidP="00ED2A01">
      <w:pPr>
        <w:spacing w:after="0" w:line="240" w:lineRule="auto"/>
        <w:rPr>
          <w:rFonts w:ascii="Book Antiqua" w:eastAsia="Times New Roman" w:hAnsi="Book Antiqua" w:cs="Times New Roman"/>
          <w:sz w:val="24"/>
          <w:szCs w:val="24"/>
          <w:lang w:eastAsia="de-DE"/>
        </w:rPr>
      </w:pPr>
    </w:p>
    <w:p w:rsidR="00ED2A01" w:rsidRPr="006B78D4" w:rsidRDefault="00ED2A01" w:rsidP="00ED2A01">
      <w:pPr>
        <w:spacing w:after="0" w:line="240" w:lineRule="auto"/>
        <w:rPr>
          <w:rFonts w:ascii="Book Antiqua" w:eastAsia="Times New Roman" w:hAnsi="Book Antiqua" w:cs="Arial"/>
          <w:sz w:val="24"/>
          <w:szCs w:val="24"/>
          <w:lang w:eastAsia="de-DE"/>
        </w:rPr>
      </w:pPr>
      <w:r w:rsidRPr="006B78D4">
        <w:rPr>
          <w:rFonts w:ascii="Book Antiqua" w:eastAsia="Times New Roman" w:hAnsi="Book Antiqua" w:cs="Arial"/>
          <w:sz w:val="24"/>
          <w:szCs w:val="24"/>
          <w:lang w:eastAsia="de-DE"/>
        </w:rPr>
        <w:t>(3) Die Informationen nach Absatz 1 dürfen mündlich übermittelt werden, wenn der Versicherungsnehmer dies wünscht oder wenn und soweit das Versicherungsunternehmen vorläufige Deckung gewährt. In diesen Fällen sind die Informationen unverzüglich nach Vertragsschluss, spätestens mit dem Versicherungsschein dem Versicherungsnehmer in Textform zur Verfügung zu stellen; dies gilt nicht für Verträge über die vorläufige Deckung bei Pflichtversicherungen.</w:t>
      </w:r>
    </w:p>
    <w:p w:rsidR="00ED2A01" w:rsidRPr="006B78D4" w:rsidRDefault="00ED2A01" w:rsidP="00ED2A01">
      <w:pPr>
        <w:spacing w:after="200" w:line="276" w:lineRule="auto"/>
        <w:rPr>
          <w:rFonts w:ascii="Book Antiqua" w:hAnsi="Book Antiqua"/>
          <w:sz w:val="24"/>
          <w:szCs w:val="24"/>
        </w:rPr>
      </w:pPr>
    </w:p>
    <w:p w:rsidR="00ED2A01" w:rsidRPr="006B78D4" w:rsidRDefault="00ED2A01" w:rsidP="00ED2A01">
      <w:pPr>
        <w:spacing w:after="200" w:line="276" w:lineRule="auto"/>
        <w:rPr>
          <w:rFonts w:ascii="Book Antiqua" w:hAnsi="Book Antiqua"/>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5 TMG - </w:t>
      </w:r>
      <w:r w:rsidRPr="006B78D4">
        <w:rPr>
          <w:rFonts w:ascii="Book Antiqua" w:eastAsia="Times New Roman" w:hAnsi="Book Antiqua" w:cs="Times New Roman"/>
          <w:b/>
          <w:bCs/>
          <w:kern w:val="36"/>
          <w:sz w:val="24"/>
          <w:szCs w:val="24"/>
          <w:lang w:eastAsia="de-DE"/>
        </w:rPr>
        <w:t>Allgemeine Informationspflichten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w:t>
      </w:r>
      <w:proofErr w:type="spellStart"/>
      <w:r w:rsidRPr="006B78D4">
        <w:rPr>
          <w:rFonts w:ascii="Book Antiqua" w:eastAsia="Times New Roman" w:hAnsi="Book Antiqua" w:cs="Times New Roman"/>
          <w:sz w:val="24"/>
          <w:szCs w:val="24"/>
          <w:lang w:eastAsia="de-DE"/>
        </w:rPr>
        <w:t>Diensteanbieter</w:t>
      </w:r>
      <w:proofErr w:type="spellEnd"/>
      <w:r w:rsidRPr="006B78D4">
        <w:rPr>
          <w:rFonts w:ascii="Book Antiqua" w:eastAsia="Times New Roman" w:hAnsi="Book Antiqua" w:cs="Times New Roman"/>
          <w:sz w:val="24"/>
          <w:szCs w:val="24"/>
          <w:lang w:eastAsia="de-DE"/>
        </w:rPr>
        <w:t xml:space="preserve"> haben für geschäftsmäßige, in der Regel gegen Entgelt angebotene Telemedien folgende Informationen leicht erkennbar, unmittelbar erreichbar und ständig verfügbar zu halten: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450"/>
        <w:gridCol w:w="1272"/>
        <w:gridCol w:w="7359"/>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gridSpan w:val="2"/>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den Namen und die Anschrift, unter der sie niedergelassen sind, bei juristischen Personen zusätzlich die Rechtsform, den Vertretungsberechtigten und, sofern Angaben über das Kapital der Gesellschaft gemacht werden, das Stamm- oder Grundkapital sowie, wenn nicht alle in Geld zu leistenden Einlagen eingezahlt sind, der Gesamtbetrag der ausstehenden Einlagen,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gridSpan w:val="2"/>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Angaben, die eine schnelle elektronische Kontaktaufnahme und unmittelbare Kommunikation mit ihnen ermöglichen, einschließlich der Adresse der elektronischen Post,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w:t>
            </w:r>
          </w:p>
        </w:tc>
        <w:tc>
          <w:tcPr>
            <w:tcW w:w="0" w:type="auto"/>
            <w:gridSpan w:val="2"/>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soweit der Dienst im Rahmen einer Tätigkeit angeboten oder erbracht wird, die der behördlichen Zulassung bedarf, Angaben zur zuständigen Aufsichtsbehörde,</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w:t>
            </w:r>
          </w:p>
        </w:tc>
        <w:tc>
          <w:tcPr>
            <w:tcW w:w="0" w:type="auto"/>
            <w:gridSpan w:val="2"/>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das Handelsregister, Vereinsregister, Partnerschaftsregister oder Genossenschaftsregister, in das sie eingetragen sind, und die entsprechende Registernummer,</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5.</w:t>
            </w:r>
          </w:p>
        </w:tc>
        <w:tc>
          <w:tcPr>
            <w:tcW w:w="0" w:type="auto"/>
            <w:gridSpan w:val="2"/>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soweit der Dienst in Ausübung eines Berufs im Sinne von Artikel 1 Buchstabe d der </w:t>
            </w:r>
            <w:hyperlink r:id="rId28" w:history="1">
              <w:r w:rsidRPr="006B78D4">
                <w:rPr>
                  <w:rFonts w:ascii="Book Antiqua" w:eastAsia="Times New Roman" w:hAnsi="Book Antiqua" w:cs="Times New Roman"/>
                  <w:sz w:val="24"/>
                  <w:szCs w:val="24"/>
                  <w:lang w:eastAsia="de-DE"/>
                </w:rPr>
                <w:t>Richtlinie 89/48/EWG</w:t>
              </w:r>
            </w:hyperlink>
            <w:r w:rsidRPr="006B78D4">
              <w:rPr>
                <w:rFonts w:ascii="Book Antiqua" w:eastAsia="Times New Roman" w:hAnsi="Book Antiqua" w:cs="Times New Roman"/>
                <w:sz w:val="24"/>
                <w:szCs w:val="24"/>
                <w:lang w:eastAsia="de-DE"/>
              </w:rPr>
              <w:t> des Rates vom 21. Dezember 1988 über eine allgemeine Regelung zur Anerkennung der Hochschuldiplome, die eine mindestens dreijährige Berufsausbildung abschließen (</w:t>
            </w:r>
            <w:proofErr w:type="spellStart"/>
            <w:r w:rsidRPr="006B78D4">
              <w:rPr>
                <w:sz w:val="24"/>
                <w:szCs w:val="24"/>
              </w:rPr>
              <w:fldChar w:fldCharType="begin"/>
            </w:r>
            <w:r w:rsidRPr="006B78D4">
              <w:rPr>
                <w:sz w:val="24"/>
                <w:szCs w:val="24"/>
              </w:rPr>
              <w:instrText xml:space="preserve"> HYPERLINK "http://eur-lex.europa.eu/legal-content/DE/AUTO/?uri=uriserv:OJ.L_.1988.019.01.0016.01.DEU&amp;locale=de&amp;toc=OJ:L::019:TOC" </w:instrText>
            </w:r>
            <w:r w:rsidRPr="006B78D4">
              <w:rPr>
                <w:sz w:val="24"/>
                <w:szCs w:val="24"/>
              </w:rPr>
              <w:fldChar w:fldCharType="separate"/>
            </w:r>
            <w:r w:rsidRPr="006B78D4">
              <w:rPr>
                <w:rFonts w:ascii="Book Antiqua" w:eastAsia="Times New Roman" w:hAnsi="Book Antiqua" w:cs="Times New Roman"/>
                <w:sz w:val="24"/>
                <w:szCs w:val="24"/>
                <w:lang w:eastAsia="de-DE"/>
              </w:rPr>
              <w:t>ABl.</w:t>
            </w:r>
            <w:proofErr w:type="spellEnd"/>
            <w:r w:rsidRPr="006B78D4">
              <w:rPr>
                <w:rFonts w:ascii="Book Antiqua" w:eastAsia="Times New Roman" w:hAnsi="Book Antiqua" w:cs="Times New Roman"/>
                <w:sz w:val="24"/>
                <w:szCs w:val="24"/>
                <w:lang w:eastAsia="de-DE"/>
              </w:rPr>
              <w:t xml:space="preserve"> EG Nr. L 19 S. 16</w:t>
            </w:r>
            <w:r w:rsidRPr="006B78D4">
              <w:rPr>
                <w:rFonts w:ascii="Book Antiqua" w:eastAsia="Times New Roman" w:hAnsi="Book Antiqua" w:cs="Times New Roman"/>
                <w:sz w:val="24"/>
                <w:szCs w:val="24"/>
                <w:lang w:eastAsia="de-DE"/>
              </w:rPr>
              <w:fldChar w:fldCharType="end"/>
            </w:r>
            <w:r w:rsidRPr="006B78D4">
              <w:rPr>
                <w:rFonts w:ascii="Book Antiqua" w:eastAsia="Times New Roman" w:hAnsi="Book Antiqua" w:cs="Times New Roman"/>
                <w:sz w:val="24"/>
                <w:szCs w:val="24"/>
                <w:lang w:eastAsia="de-DE"/>
              </w:rPr>
              <w:t>), oder im Sinne von Artikel 1 Buchstabe f der </w:t>
            </w:r>
            <w:hyperlink r:id="rId29" w:history="1">
              <w:r w:rsidRPr="006B78D4">
                <w:rPr>
                  <w:rFonts w:ascii="Book Antiqua" w:eastAsia="Times New Roman" w:hAnsi="Book Antiqua" w:cs="Times New Roman"/>
                  <w:sz w:val="24"/>
                  <w:szCs w:val="24"/>
                  <w:lang w:eastAsia="de-DE"/>
                </w:rPr>
                <w:t>Richtlinie 92/51/EWG</w:t>
              </w:r>
            </w:hyperlink>
            <w:r w:rsidRPr="006B78D4">
              <w:rPr>
                <w:rFonts w:ascii="Book Antiqua" w:eastAsia="Times New Roman" w:hAnsi="Book Antiqua" w:cs="Times New Roman"/>
                <w:sz w:val="24"/>
                <w:szCs w:val="24"/>
                <w:lang w:eastAsia="de-DE"/>
              </w:rPr>
              <w:t> des Rates vom 18. Juni 1992 über eine zweite allgemeine Regelung zur Anerkennung beruflicher Befähigungsnachweise in Ergänzung zur </w:t>
            </w:r>
            <w:hyperlink r:id="rId30" w:history="1">
              <w:r w:rsidRPr="006B78D4">
                <w:rPr>
                  <w:rFonts w:ascii="Book Antiqua" w:eastAsia="Times New Roman" w:hAnsi="Book Antiqua" w:cs="Times New Roman"/>
                  <w:sz w:val="24"/>
                  <w:szCs w:val="24"/>
                  <w:lang w:eastAsia="de-DE"/>
                </w:rPr>
                <w:t>Richtlinie 89/48/EWG</w:t>
              </w:r>
            </w:hyperlink>
            <w:r w:rsidRPr="006B78D4">
              <w:rPr>
                <w:rFonts w:ascii="Book Antiqua" w:eastAsia="Times New Roman" w:hAnsi="Book Antiqua" w:cs="Times New Roman"/>
                <w:sz w:val="24"/>
                <w:szCs w:val="24"/>
                <w:lang w:eastAsia="de-DE"/>
              </w:rPr>
              <w:t> (</w:t>
            </w:r>
            <w:proofErr w:type="spellStart"/>
            <w:r w:rsidRPr="006B78D4">
              <w:rPr>
                <w:sz w:val="24"/>
                <w:szCs w:val="24"/>
              </w:rPr>
              <w:fldChar w:fldCharType="begin"/>
            </w:r>
            <w:r w:rsidRPr="006B78D4">
              <w:rPr>
                <w:sz w:val="24"/>
                <w:szCs w:val="24"/>
              </w:rPr>
              <w:instrText xml:space="preserve"> HYPERLINK "http://eur-lex.europa.eu/legal-content/DE/AUTO/?uri=uriserv:OJ.L_.1992.209.01.0025.01.DEU&amp;locale=de&amp;toc=OJ:L::209:TOC" </w:instrText>
            </w:r>
            <w:r w:rsidRPr="006B78D4">
              <w:rPr>
                <w:sz w:val="24"/>
                <w:szCs w:val="24"/>
              </w:rPr>
              <w:fldChar w:fldCharType="separate"/>
            </w:r>
            <w:r w:rsidRPr="006B78D4">
              <w:rPr>
                <w:rFonts w:ascii="Book Antiqua" w:eastAsia="Times New Roman" w:hAnsi="Book Antiqua" w:cs="Times New Roman"/>
                <w:sz w:val="24"/>
                <w:szCs w:val="24"/>
                <w:lang w:eastAsia="de-DE"/>
              </w:rPr>
              <w:t>ABl.</w:t>
            </w:r>
            <w:proofErr w:type="spellEnd"/>
            <w:r w:rsidRPr="006B78D4">
              <w:rPr>
                <w:rFonts w:ascii="Book Antiqua" w:eastAsia="Times New Roman" w:hAnsi="Book Antiqua" w:cs="Times New Roman"/>
                <w:sz w:val="24"/>
                <w:szCs w:val="24"/>
                <w:lang w:eastAsia="de-DE"/>
              </w:rPr>
              <w:t xml:space="preserve"> EG Nr. L 209 S. 25</w:t>
            </w:r>
            <w:r w:rsidRPr="006B78D4">
              <w:rPr>
                <w:rFonts w:ascii="Book Antiqua" w:eastAsia="Times New Roman" w:hAnsi="Book Antiqua" w:cs="Times New Roman"/>
                <w:sz w:val="24"/>
                <w:szCs w:val="24"/>
                <w:lang w:eastAsia="de-DE"/>
              </w:rPr>
              <w:fldChar w:fldCharType="end"/>
            </w:r>
            <w:r w:rsidRPr="006B78D4">
              <w:rPr>
                <w:rFonts w:ascii="Book Antiqua" w:eastAsia="Times New Roman" w:hAnsi="Book Antiqua" w:cs="Times New Roman"/>
                <w:sz w:val="24"/>
                <w:szCs w:val="24"/>
                <w:lang w:eastAsia="de-DE"/>
              </w:rPr>
              <w:t>, 1995 Nr. L 17 S. 20), zuletzt geändert durch die </w:t>
            </w:r>
            <w:hyperlink r:id="rId31" w:history="1">
              <w:r w:rsidRPr="006B78D4">
                <w:rPr>
                  <w:rFonts w:ascii="Book Antiqua" w:eastAsia="Times New Roman" w:hAnsi="Book Antiqua" w:cs="Times New Roman"/>
                  <w:sz w:val="24"/>
                  <w:szCs w:val="24"/>
                  <w:lang w:eastAsia="de-DE"/>
                </w:rPr>
                <w:t>Richtlinie 97/38/EG</w:t>
              </w:r>
            </w:hyperlink>
            <w:r w:rsidRPr="006B78D4">
              <w:rPr>
                <w:rFonts w:ascii="Book Antiqua" w:eastAsia="Times New Roman" w:hAnsi="Book Antiqua" w:cs="Times New Roman"/>
                <w:sz w:val="24"/>
                <w:szCs w:val="24"/>
                <w:lang w:eastAsia="de-DE"/>
              </w:rPr>
              <w:t> der Kommission vom 20. Juni 1997 (</w:t>
            </w:r>
            <w:proofErr w:type="spellStart"/>
            <w:r w:rsidRPr="006B78D4">
              <w:rPr>
                <w:sz w:val="24"/>
                <w:szCs w:val="24"/>
              </w:rPr>
              <w:fldChar w:fldCharType="begin"/>
            </w:r>
            <w:r w:rsidRPr="006B78D4">
              <w:rPr>
                <w:sz w:val="24"/>
                <w:szCs w:val="24"/>
              </w:rPr>
              <w:instrText xml:space="preserve"> HYPERLINK "http://eur-lex.europa.eu/legal-content/DE/AUTO/?uri=uriserv:OJ.L_.1997.184.01.0031.01.DEU&amp;locale=de&amp;toc=OJ:L::184:TOC" </w:instrText>
            </w:r>
            <w:r w:rsidRPr="006B78D4">
              <w:rPr>
                <w:sz w:val="24"/>
                <w:szCs w:val="24"/>
              </w:rPr>
              <w:fldChar w:fldCharType="separate"/>
            </w:r>
            <w:r w:rsidRPr="006B78D4">
              <w:rPr>
                <w:rFonts w:ascii="Book Antiqua" w:eastAsia="Times New Roman" w:hAnsi="Book Antiqua" w:cs="Times New Roman"/>
                <w:sz w:val="24"/>
                <w:szCs w:val="24"/>
                <w:lang w:eastAsia="de-DE"/>
              </w:rPr>
              <w:t>ABl.</w:t>
            </w:r>
            <w:proofErr w:type="spellEnd"/>
            <w:r w:rsidRPr="006B78D4">
              <w:rPr>
                <w:rFonts w:ascii="Book Antiqua" w:eastAsia="Times New Roman" w:hAnsi="Book Antiqua" w:cs="Times New Roman"/>
                <w:sz w:val="24"/>
                <w:szCs w:val="24"/>
                <w:lang w:eastAsia="de-DE"/>
              </w:rPr>
              <w:t xml:space="preserve"> EG Nr. L 184 S. 31</w:t>
            </w:r>
            <w:r w:rsidRPr="006B78D4">
              <w:rPr>
                <w:rFonts w:ascii="Book Antiqua" w:eastAsia="Times New Roman" w:hAnsi="Book Antiqua" w:cs="Times New Roman"/>
                <w:sz w:val="24"/>
                <w:szCs w:val="24"/>
                <w:lang w:eastAsia="de-DE"/>
              </w:rPr>
              <w:fldChar w:fldCharType="end"/>
            </w:r>
            <w:r w:rsidRPr="006B78D4">
              <w:rPr>
                <w:rFonts w:ascii="Book Antiqua" w:eastAsia="Times New Roman" w:hAnsi="Book Antiqua" w:cs="Times New Roman"/>
                <w:sz w:val="24"/>
                <w:szCs w:val="24"/>
                <w:lang w:eastAsia="de-DE"/>
              </w:rPr>
              <w:t>), angeboten oder erbracht wird, Angaben über</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195"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a)</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die Kammer, welcher die </w:t>
            </w:r>
            <w:proofErr w:type="spellStart"/>
            <w:r w:rsidRPr="006B78D4">
              <w:rPr>
                <w:rFonts w:ascii="Book Antiqua" w:eastAsia="Times New Roman" w:hAnsi="Book Antiqua" w:cs="Times New Roman"/>
                <w:sz w:val="24"/>
                <w:szCs w:val="24"/>
                <w:lang w:eastAsia="de-DE"/>
              </w:rPr>
              <w:t>Diensteanbieter</w:t>
            </w:r>
            <w:proofErr w:type="spellEnd"/>
            <w:r w:rsidRPr="006B78D4">
              <w:rPr>
                <w:rFonts w:ascii="Book Antiqua" w:eastAsia="Times New Roman" w:hAnsi="Book Antiqua" w:cs="Times New Roman"/>
                <w:sz w:val="24"/>
                <w:szCs w:val="24"/>
                <w:lang w:eastAsia="de-DE"/>
              </w:rPr>
              <w:t xml:space="preserve"> angehören,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195"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gesetzliche Berufsbezeichnung und den Staat, in dem die Berufsbezeichnung verliehen worden ist,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195"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c)</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Bezeichnung der berufsrechtlichen Regelungen und dazu, wie diese zugänglich sind,</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6.</w:t>
            </w:r>
          </w:p>
        </w:tc>
        <w:tc>
          <w:tcPr>
            <w:tcW w:w="0" w:type="auto"/>
            <w:gridSpan w:val="2"/>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in Fällen, in denen sie eine Umsatzsteueridentifikationsnummer nach § </w:t>
            </w:r>
            <w:hyperlink r:id="rId32" w:history="1">
              <w:r w:rsidRPr="006B78D4">
                <w:rPr>
                  <w:rFonts w:ascii="Book Antiqua" w:eastAsia="Times New Roman" w:hAnsi="Book Antiqua" w:cs="Times New Roman"/>
                  <w:sz w:val="24"/>
                  <w:szCs w:val="24"/>
                  <w:lang w:eastAsia="de-DE"/>
                </w:rPr>
                <w:t>27a</w:t>
              </w:r>
            </w:hyperlink>
            <w:r w:rsidRPr="006B78D4">
              <w:rPr>
                <w:rFonts w:ascii="Book Antiqua" w:eastAsia="Times New Roman" w:hAnsi="Book Antiqua" w:cs="Times New Roman"/>
                <w:sz w:val="24"/>
                <w:szCs w:val="24"/>
                <w:lang w:eastAsia="de-DE"/>
              </w:rPr>
              <w:t> des Umsatzsteuergesetzes oder eine Wirtschafts-Identifikationsnummer nach § </w:t>
            </w:r>
            <w:hyperlink r:id="rId33" w:history="1">
              <w:r w:rsidRPr="006B78D4">
                <w:rPr>
                  <w:rFonts w:ascii="Book Antiqua" w:eastAsia="Times New Roman" w:hAnsi="Book Antiqua" w:cs="Times New Roman"/>
                  <w:sz w:val="24"/>
                  <w:szCs w:val="24"/>
                  <w:lang w:eastAsia="de-DE"/>
                </w:rPr>
                <w:t>139c</w:t>
              </w:r>
            </w:hyperlink>
            <w:r w:rsidRPr="006B78D4">
              <w:rPr>
                <w:rFonts w:ascii="Book Antiqua" w:eastAsia="Times New Roman" w:hAnsi="Book Antiqua" w:cs="Times New Roman"/>
                <w:sz w:val="24"/>
                <w:szCs w:val="24"/>
                <w:lang w:eastAsia="de-DE"/>
              </w:rPr>
              <w:t> der Abgabenordnung besitzen, die Angabe dieser Nummer,</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7.</w:t>
            </w:r>
          </w:p>
        </w:tc>
        <w:tc>
          <w:tcPr>
            <w:tcW w:w="0" w:type="auto"/>
            <w:gridSpan w:val="2"/>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Aktiengesellschaften, Kommanditgesellschaften auf Aktien und Gesellschaften mit beschränkter Haftung, die sich in Abwicklung oder Liquidation befinden, die Angabe hierüber.</w:t>
            </w:r>
          </w:p>
        </w:tc>
      </w:tr>
    </w:tbl>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Weitergehende Informationspflichten nach anderen Rechtsvorschriften bleiben unberührt.</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34d Abs. 1 GewO - </w:t>
      </w:r>
      <w:r w:rsidRPr="006B78D4">
        <w:rPr>
          <w:rFonts w:ascii="Book Antiqua" w:eastAsia="Times New Roman" w:hAnsi="Book Antiqua" w:cs="Times New Roman"/>
          <w:b/>
          <w:bCs/>
          <w:kern w:val="36"/>
          <w:sz w:val="24"/>
          <w:szCs w:val="24"/>
          <w:lang w:eastAsia="de-DE"/>
        </w:rPr>
        <w:t>Versicherungsvermittler</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Wer gewerbsmäßig als Versicherungsmakler oder als Versicherungsvertreter den Abschluss von Versicherungsverträgen vermitteln will (Versicherungsvermittler), bedarf der Erlaubnis der zuständigen Industrie- und Handelskammer. Die Erlaubnis kann inhaltlich beschränkt und mit Auflagen verbunden werden, soweit dies zum Schutze der Allgemeinheit oder der Versicherungsnehmer erforderlich ist; unter denselben Voraussetzungen sind auch die nachträgliche Aufnahme, Änderung und Ergänzung von Auflagen zulässig. In der Erlaubnis ist anzugeben, ob sie einem Versicherungsmakler oder einem Versicherungsvertreter erteilt wird. Die einem Versicherungsmakler erteilte Erlaubnis beinhaltet die Befugnis, Dritte, die nicht </w:t>
      </w:r>
      <w:r w:rsidRPr="006B78D4">
        <w:rPr>
          <w:rFonts w:ascii="Book Antiqua" w:eastAsia="Times New Roman" w:hAnsi="Book Antiqua" w:cs="Times New Roman"/>
          <w:sz w:val="24"/>
          <w:szCs w:val="24"/>
          <w:lang w:eastAsia="de-DE"/>
        </w:rPr>
        <w:lastRenderedPageBreak/>
        <w:t>Verbraucher sind, bei der Vereinbarung, Änderung oder Prüfung von Versicherungsverträgen gegen gesondertes Entgelt rechtlich zu beraten; diese Befugnis zur Beratung erstreckt sich auch auf Beschäftigte von Unternehmen in den Fällen, in denen der Versicherungsmakler das Unternehmen berät. Bei der Wahrnehmung der Aufgaben nach den Sätzen 1 und 2 unterliegt die Industrie- und Handelskammer der Aufsicht der obersten Landesbehörde.</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34e Abs. 1 GewO - </w:t>
      </w:r>
      <w:r w:rsidRPr="006B78D4">
        <w:rPr>
          <w:rFonts w:ascii="Book Antiqua" w:eastAsia="Times New Roman" w:hAnsi="Book Antiqua" w:cs="Times New Roman"/>
          <w:b/>
          <w:bCs/>
          <w:kern w:val="36"/>
          <w:sz w:val="24"/>
          <w:szCs w:val="24"/>
          <w:lang w:eastAsia="de-DE"/>
        </w:rPr>
        <w:t>Versicherungsberater</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Wer gewerbsmäßig Dritte über Versicherungen beraten will, ohne von einem Versicherungsunternehmen einen wirtschaftlichen Vorteil zu erhalten oder von ihm in anderer Weise abhängig zu sein (Versicherungsberater), bedarf der Erlaubnis der zuständigen Industrie- und Handelskammer. Die Erlaubnis kann inhaltlich beschränkt und mit Auflagen verbunden werden, soweit dies zum Schutze der Allgemeinheit oder der Versicherungsnehmer erforderlich ist; unter denselben Voraussetzungen ist auch die nachträgliche Aufnahme, Änderung und Ergänzung von Auflagen zulässig. Die Erlaubnis beinhaltet die Befugnis, Dritte bei der Vereinbarung, Änderung oder Prüfung von Versicherungsverträgen oder bei der Wahrnehmung von Ansprüchen aus dem Versicherungsvertrag im Versicherungsfall rechtlich zu beraten und gegenüber dem Versicherungsunternehmen außergerichtlich zu vertreten. Bei der Wahrnehmung ihrer Aufgaben nach den Sätzen 1 und 2 unterliegt die Industrie- und Handelskammer der Aufsicht der obersten Landesbehörde.</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43 BDSG - </w:t>
      </w:r>
      <w:r w:rsidRPr="006B78D4">
        <w:rPr>
          <w:rFonts w:ascii="Book Antiqua" w:eastAsia="Times New Roman" w:hAnsi="Book Antiqua" w:cs="Times New Roman"/>
          <w:b/>
          <w:bCs/>
          <w:kern w:val="36"/>
          <w:sz w:val="24"/>
          <w:szCs w:val="24"/>
          <w:lang w:eastAsia="de-DE"/>
        </w:rPr>
        <w:t>Bußgeldvorschriften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Ordnungswidrig handelt, wer vorsätzlich oder fahrlässig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583"/>
        <w:gridCol w:w="8498"/>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34" w:history="1">
              <w:r w:rsidRPr="006B78D4">
                <w:rPr>
                  <w:rFonts w:ascii="Book Antiqua" w:eastAsia="Times New Roman" w:hAnsi="Book Antiqua" w:cs="Times New Roman"/>
                  <w:sz w:val="24"/>
                  <w:szCs w:val="24"/>
                  <w:lang w:eastAsia="de-DE"/>
                </w:rPr>
                <w:t>4d</w:t>
              </w:r>
            </w:hyperlink>
            <w:r w:rsidRPr="006B78D4">
              <w:rPr>
                <w:rFonts w:ascii="Book Antiqua" w:eastAsia="Times New Roman" w:hAnsi="Book Antiqua" w:cs="Times New Roman"/>
                <w:sz w:val="24"/>
                <w:szCs w:val="24"/>
                <w:lang w:eastAsia="de-DE"/>
              </w:rPr>
              <w:t> Abs. 1, auch in Verbindung mit § </w:t>
            </w:r>
            <w:hyperlink r:id="rId35" w:history="1">
              <w:r w:rsidRPr="006B78D4">
                <w:rPr>
                  <w:rFonts w:ascii="Book Antiqua" w:eastAsia="Times New Roman" w:hAnsi="Book Antiqua" w:cs="Times New Roman"/>
                  <w:sz w:val="24"/>
                  <w:szCs w:val="24"/>
                  <w:lang w:eastAsia="de-DE"/>
                </w:rPr>
                <w:t>4e</w:t>
              </w:r>
            </w:hyperlink>
            <w:r w:rsidRPr="006B78D4">
              <w:rPr>
                <w:rFonts w:ascii="Book Antiqua" w:eastAsia="Times New Roman" w:hAnsi="Book Antiqua" w:cs="Times New Roman"/>
                <w:sz w:val="24"/>
                <w:szCs w:val="24"/>
                <w:lang w:eastAsia="de-DE"/>
              </w:rPr>
              <w:t> Satz 2, eine Meldung nicht, nicht richtig, nicht vollständig oder nicht rechtzeitig macht,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36" w:history="1">
              <w:r w:rsidRPr="006B78D4">
                <w:rPr>
                  <w:rFonts w:ascii="Book Antiqua" w:eastAsia="Times New Roman" w:hAnsi="Book Antiqua" w:cs="Times New Roman"/>
                  <w:sz w:val="24"/>
                  <w:szCs w:val="24"/>
                  <w:lang w:eastAsia="de-DE"/>
                </w:rPr>
                <w:t>4f</w:t>
              </w:r>
            </w:hyperlink>
            <w:r w:rsidRPr="006B78D4">
              <w:rPr>
                <w:rFonts w:ascii="Book Antiqua" w:eastAsia="Times New Roman" w:hAnsi="Book Antiqua" w:cs="Times New Roman"/>
                <w:sz w:val="24"/>
                <w:szCs w:val="24"/>
                <w:lang w:eastAsia="de-DE"/>
              </w:rPr>
              <w:t> Abs. 1 Satz 1 oder 2, jeweils auch in Verbindung mit Satz 3 und 6, einen Beauftragten für den Datenschutz nicht, nicht in der vorgeschriebenen Weise oder nicht rechtzeitig bestellt,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2a.</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37" w:history="1">
              <w:r w:rsidRPr="006B78D4">
                <w:rPr>
                  <w:rFonts w:ascii="Book Antiqua" w:eastAsia="Times New Roman" w:hAnsi="Book Antiqua" w:cs="Times New Roman"/>
                  <w:sz w:val="24"/>
                  <w:szCs w:val="24"/>
                  <w:lang w:eastAsia="de-DE"/>
                </w:rPr>
                <w:t>10</w:t>
              </w:r>
            </w:hyperlink>
            <w:r w:rsidRPr="006B78D4">
              <w:rPr>
                <w:rFonts w:ascii="Book Antiqua" w:eastAsia="Times New Roman" w:hAnsi="Book Antiqua" w:cs="Times New Roman"/>
                <w:sz w:val="24"/>
                <w:szCs w:val="24"/>
                <w:lang w:eastAsia="de-DE"/>
              </w:rPr>
              <w:t> Absatz 4 Satz 3 nicht gewährleistet, dass die Datenübermittlung festgestellt und überprüft werden kann,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2b.</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38" w:history="1">
              <w:r w:rsidRPr="006B78D4">
                <w:rPr>
                  <w:rFonts w:ascii="Book Antiqua" w:eastAsia="Times New Roman" w:hAnsi="Book Antiqua" w:cs="Times New Roman"/>
                  <w:sz w:val="24"/>
                  <w:szCs w:val="24"/>
                  <w:lang w:eastAsia="de-DE"/>
                </w:rPr>
                <w:t>11</w:t>
              </w:r>
            </w:hyperlink>
            <w:r w:rsidRPr="006B78D4">
              <w:rPr>
                <w:rFonts w:ascii="Book Antiqua" w:eastAsia="Times New Roman" w:hAnsi="Book Antiqua" w:cs="Times New Roman"/>
                <w:sz w:val="24"/>
                <w:szCs w:val="24"/>
                <w:lang w:eastAsia="de-DE"/>
              </w:rPr>
              <w:t> Absatz 2 Satz 2 einen Auftrag nicht richtig, nicht vollständig oder nicht in der vorgeschriebenen Weise erteilt oder entgegen § </w:t>
            </w:r>
            <w:hyperlink r:id="rId39" w:history="1">
              <w:r w:rsidRPr="006B78D4">
                <w:rPr>
                  <w:rFonts w:ascii="Book Antiqua" w:eastAsia="Times New Roman" w:hAnsi="Book Antiqua" w:cs="Times New Roman"/>
                  <w:sz w:val="24"/>
                  <w:szCs w:val="24"/>
                  <w:lang w:eastAsia="de-DE"/>
                </w:rPr>
                <w:t>11</w:t>
              </w:r>
            </w:hyperlink>
            <w:r w:rsidRPr="006B78D4">
              <w:rPr>
                <w:rFonts w:ascii="Book Antiqua" w:eastAsia="Times New Roman" w:hAnsi="Book Antiqua" w:cs="Times New Roman"/>
                <w:sz w:val="24"/>
                <w:szCs w:val="24"/>
                <w:lang w:eastAsia="de-DE"/>
              </w:rPr>
              <w:t xml:space="preserve"> Absatz 2 </w:t>
            </w:r>
            <w:r w:rsidRPr="006B78D4">
              <w:rPr>
                <w:rFonts w:ascii="Book Antiqua" w:eastAsia="Times New Roman" w:hAnsi="Book Antiqua" w:cs="Times New Roman"/>
                <w:sz w:val="24"/>
                <w:szCs w:val="24"/>
                <w:lang w:eastAsia="de-DE"/>
              </w:rPr>
              <w:lastRenderedPageBreak/>
              <w:t>Satz 4 sich nicht vor Beginn der Datenverarbeitung von der Einhaltung der beim Auftragnehmer getroffenen technischen und organisatorischen Maßnahmen überzeugt,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40" w:history="1">
              <w:r w:rsidRPr="006B78D4">
                <w:rPr>
                  <w:rFonts w:ascii="Book Antiqua" w:eastAsia="Times New Roman" w:hAnsi="Book Antiqua" w:cs="Times New Roman"/>
                  <w:sz w:val="24"/>
                  <w:szCs w:val="24"/>
                  <w:lang w:eastAsia="de-DE"/>
                </w:rPr>
                <w:t>28</w:t>
              </w:r>
            </w:hyperlink>
            <w:r w:rsidRPr="006B78D4">
              <w:rPr>
                <w:rFonts w:ascii="Book Antiqua" w:eastAsia="Times New Roman" w:hAnsi="Book Antiqua" w:cs="Times New Roman"/>
                <w:sz w:val="24"/>
                <w:szCs w:val="24"/>
                <w:lang w:eastAsia="de-DE"/>
              </w:rPr>
              <w:t> Abs. 4 Satz 2 den Betroffenen nicht, nicht richtig oder nicht rechtzeitig unterrichtet oder nicht sicherstellt, dass der Betroffene Kenntnis erhalten kann,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3a.</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41" w:history="1">
              <w:r w:rsidRPr="006B78D4">
                <w:rPr>
                  <w:rFonts w:ascii="Book Antiqua" w:eastAsia="Times New Roman" w:hAnsi="Book Antiqua" w:cs="Times New Roman"/>
                  <w:sz w:val="24"/>
                  <w:szCs w:val="24"/>
                  <w:lang w:eastAsia="de-DE"/>
                </w:rPr>
                <w:t>28</w:t>
              </w:r>
            </w:hyperlink>
            <w:r w:rsidRPr="006B78D4">
              <w:rPr>
                <w:rFonts w:ascii="Book Antiqua" w:eastAsia="Times New Roman" w:hAnsi="Book Antiqua" w:cs="Times New Roman"/>
                <w:sz w:val="24"/>
                <w:szCs w:val="24"/>
                <w:lang w:eastAsia="de-DE"/>
              </w:rPr>
              <w:t> Absatz 4 Satz 4 eine strengere Form verlangt,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42" w:history="1">
              <w:r w:rsidRPr="006B78D4">
                <w:rPr>
                  <w:rFonts w:ascii="Book Antiqua" w:eastAsia="Times New Roman" w:hAnsi="Book Antiqua" w:cs="Times New Roman"/>
                  <w:sz w:val="24"/>
                  <w:szCs w:val="24"/>
                  <w:lang w:eastAsia="de-DE"/>
                </w:rPr>
                <w:t>28</w:t>
              </w:r>
            </w:hyperlink>
            <w:r w:rsidRPr="006B78D4">
              <w:rPr>
                <w:rFonts w:ascii="Book Antiqua" w:eastAsia="Times New Roman" w:hAnsi="Book Antiqua" w:cs="Times New Roman"/>
                <w:sz w:val="24"/>
                <w:szCs w:val="24"/>
                <w:lang w:eastAsia="de-DE"/>
              </w:rPr>
              <w:t> Abs. 5 Satz 2 personenbezogene Daten übermittelt oder nutzt,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4a.</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43" w:history="1">
              <w:r w:rsidRPr="006B78D4">
                <w:rPr>
                  <w:rFonts w:ascii="Book Antiqua" w:eastAsia="Times New Roman" w:hAnsi="Book Antiqua" w:cs="Times New Roman"/>
                  <w:sz w:val="24"/>
                  <w:szCs w:val="24"/>
                  <w:lang w:eastAsia="de-DE"/>
                </w:rPr>
                <w:t>28a</w:t>
              </w:r>
            </w:hyperlink>
            <w:r w:rsidRPr="006B78D4">
              <w:rPr>
                <w:rFonts w:ascii="Book Antiqua" w:eastAsia="Times New Roman" w:hAnsi="Book Antiqua" w:cs="Times New Roman"/>
                <w:sz w:val="24"/>
                <w:szCs w:val="24"/>
                <w:lang w:eastAsia="de-DE"/>
              </w:rPr>
              <w:t> Abs. 3 Satz 1 eine Mitteilung nicht, nicht richtig, nicht vollständig oder nicht rechtzeitig macht,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5.</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44" w:history="1">
              <w:r w:rsidRPr="006B78D4">
                <w:rPr>
                  <w:rFonts w:ascii="Book Antiqua" w:eastAsia="Times New Roman" w:hAnsi="Book Antiqua" w:cs="Times New Roman"/>
                  <w:sz w:val="24"/>
                  <w:szCs w:val="24"/>
                  <w:lang w:eastAsia="de-DE"/>
                </w:rPr>
                <w:t>29</w:t>
              </w:r>
            </w:hyperlink>
            <w:r w:rsidRPr="006B78D4">
              <w:rPr>
                <w:rFonts w:ascii="Book Antiqua" w:eastAsia="Times New Roman" w:hAnsi="Book Antiqua" w:cs="Times New Roman"/>
                <w:sz w:val="24"/>
                <w:szCs w:val="24"/>
                <w:lang w:eastAsia="de-DE"/>
              </w:rPr>
              <w:t> Abs. 2 Satz 3 oder 4 die dort bezeichneten Gründe oder die Art und Weise ihrer glaubhaften Darlegung nicht aufzeichnet,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6.</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45" w:history="1">
              <w:r w:rsidRPr="006B78D4">
                <w:rPr>
                  <w:rFonts w:ascii="Book Antiqua" w:eastAsia="Times New Roman" w:hAnsi="Book Antiqua" w:cs="Times New Roman"/>
                  <w:sz w:val="24"/>
                  <w:szCs w:val="24"/>
                  <w:lang w:eastAsia="de-DE"/>
                </w:rPr>
                <w:t>29</w:t>
              </w:r>
            </w:hyperlink>
            <w:r w:rsidRPr="006B78D4">
              <w:rPr>
                <w:rFonts w:ascii="Book Antiqua" w:eastAsia="Times New Roman" w:hAnsi="Book Antiqua" w:cs="Times New Roman"/>
                <w:sz w:val="24"/>
                <w:szCs w:val="24"/>
                <w:lang w:eastAsia="de-DE"/>
              </w:rPr>
              <w:t> Abs. 3 Satz 1 personenbezogene Daten in elektronische oder gedruckte Adress-, Rufnummern-, Branchen- oder vergleichbare Verzeichnisse aufnimmt,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7.</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46" w:history="1">
              <w:r w:rsidRPr="006B78D4">
                <w:rPr>
                  <w:rFonts w:ascii="Book Antiqua" w:eastAsia="Times New Roman" w:hAnsi="Book Antiqua" w:cs="Times New Roman"/>
                  <w:sz w:val="24"/>
                  <w:szCs w:val="24"/>
                  <w:lang w:eastAsia="de-DE"/>
                </w:rPr>
                <w:t>29</w:t>
              </w:r>
            </w:hyperlink>
            <w:r w:rsidRPr="006B78D4">
              <w:rPr>
                <w:rFonts w:ascii="Book Antiqua" w:eastAsia="Times New Roman" w:hAnsi="Book Antiqua" w:cs="Times New Roman"/>
                <w:sz w:val="24"/>
                <w:szCs w:val="24"/>
                <w:lang w:eastAsia="de-DE"/>
              </w:rPr>
              <w:t> Abs. 3 Satz 2 die Übernahme von Kennzeichnungen nicht sicherstellt,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7a.</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47" w:history="1">
              <w:r w:rsidRPr="006B78D4">
                <w:rPr>
                  <w:rFonts w:ascii="Book Antiqua" w:eastAsia="Times New Roman" w:hAnsi="Book Antiqua" w:cs="Times New Roman"/>
                  <w:sz w:val="24"/>
                  <w:szCs w:val="24"/>
                  <w:lang w:eastAsia="de-DE"/>
                </w:rPr>
                <w:t>29</w:t>
              </w:r>
            </w:hyperlink>
            <w:r w:rsidRPr="006B78D4">
              <w:rPr>
                <w:rFonts w:ascii="Book Antiqua" w:eastAsia="Times New Roman" w:hAnsi="Book Antiqua" w:cs="Times New Roman"/>
                <w:sz w:val="24"/>
                <w:szCs w:val="24"/>
                <w:lang w:eastAsia="de-DE"/>
              </w:rPr>
              <w:t> Abs. 6 ein Auskunftsverlangen nicht richtig behandelt,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7b.</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48" w:history="1">
              <w:r w:rsidRPr="006B78D4">
                <w:rPr>
                  <w:rFonts w:ascii="Book Antiqua" w:eastAsia="Times New Roman" w:hAnsi="Book Antiqua" w:cs="Times New Roman"/>
                  <w:sz w:val="24"/>
                  <w:szCs w:val="24"/>
                  <w:lang w:eastAsia="de-DE"/>
                </w:rPr>
                <w:t>29</w:t>
              </w:r>
            </w:hyperlink>
            <w:r w:rsidRPr="006B78D4">
              <w:rPr>
                <w:rFonts w:ascii="Book Antiqua" w:eastAsia="Times New Roman" w:hAnsi="Book Antiqua" w:cs="Times New Roman"/>
                <w:sz w:val="24"/>
                <w:szCs w:val="24"/>
                <w:lang w:eastAsia="de-DE"/>
              </w:rPr>
              <w:t> Abs. 7 Satz 1 einen Verbraucher nicht, nicht richtig, nicht vollständig oder nicht rechtzeitig unterrichtet,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8.</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49" w:history="1">
              <w:r w:rsidRPr="006B78D4">
                <w:rPr>
                  <w:rFonts w:ascii="Book Antiqua" w:eastAsia="Times New Roman" w:hAnsi="Book Antiqua" w:cs="Times New Roman"/>
                  <w:sz w:val="24"/>
                  <w:szCs w:val="24"/>
                  <w:lang w:eastAsia="de-DE"/>
                </w:rPr>
                <w:t>33</w:t>
              </w:r>
            </w:hyperlink>
            <w:r w:rsidRPr="006B78D4">
              <w:rPr>
                <w:rFonts w:ascii="Book Antiqua" w:eastAsia="Times New Roman" w:hAnsi="Book Antiqua" w:cs="Times New Roman"/>
                <w:sz w:val="24"/>
                <w:szCs w:val="24"/>
                <w:lang w:eastAsia="de-DE"/>
              </w:rPr>
              <w:t> Abs. 1 den Betroffenen nicht, nicht richtig oder nicht vollständig benachrichtigt,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8a.</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50" w:history="1">
              <w:r w:rsidRPr="006B78D4">
                <w:rPr>
                  <w:rFonts w:ascii="Book Antiqua" w:eastAsia="Times New Roman" w:hAnsi="Book Antiqua" w:cs="Times New Roman"/>
                  <w:sz w:val="24"/>
                  <w:szCs w:val="24"/>
                  <w:lang w:eastAsia="de-DE"/>
                </w:rPr>
                <w:t>34</w:t>
              </w:r>
            </w:hyperlink>
            <w:r w:rsidRPr="006B78D4">
              <w:rPr>
                <w:rFonts w:ascii="Book Antiqua" w:eastAsia="Times New Roman" w:hAnsi="Book Antiqua" w:cs="Times New Roman"/>
                <w:sz w:val="24"/>
                <w:szCs w:val="24"/>
                <w:lang w:eastAsia="de-DE"/>
              </w:rPr>
              <w:t> Absatz 1 Satz 1, auch in Verbindung mit Satz 3, entgegen § </w:t>
            </w:r>
            <w:hyperlink r:id="rId51" w:history="1">
              <w:r w:rsidRPr="006B78D4">
                <w:rPr>
                  <w:rFonts w:ascii="Book Antiqua" w:eastAsia="Times New Roman" w:hAnsi="Book Antiqua" w:cs="Times New Roman"/>
                  <w:sz w:val="24"/>
                  <w:szCs w:val="24"/>
                  <w:lang w:eastAsia="de-DE"/>
                </w:rPr>
                <w:t>34</w:t>
              </w:r>
            </w:hyperlink>
            <w:r w:rsidRPr="006B78D4">
              <w:rPr>
                <w:rFonts w:ascii="Book Antiqua" w:eastAsia="Times New Roman" w:hAnsi="Book Antiqua" w:cs="Times New Roman"/>
                <w:sz w:val="24"/>
                <w:szCs w:val="24"/>
                <w:lang w:eastAsia="de-DE"/>
              </w:rPr>
              <w:t> Absatz 1a, entgegen § </w:t>
            </w:r>
            <w:hyperlink r:id="rId52" w:history="1">
              <w:r w:rsidRPr="006B78D4">
                <w:rPr>
                  <w:rFonts w:ascii="Book Antiqua" w:eastAsia="Times New Roman" w:hAnsi="Book Antiqua" w:cs="Times New Roman"/>
                  <w:sz w:val="24"/>
                  <w:szCs w:val="24"/>
                  <w:lang w:eastAsia="de-DE"/>
                </w:rPr>
                <w:t>34</w:t>
              </w:r>
            </w:hyperlink>
            <w:r w:rsidRPr="006B78D4">
              <w:rPr>
                <w:rFonts w:ascii="Book Antiqua" w:eastAsia="Times New Roman" w:hAnsi="Book Antiqua" w:cs="Times New Roman"/>
                <w:sz w:val="24"/>
                <w:szCs w:val="24"/>
                <w:lang w:eastAsia="de-DE"/>
              </w:rPr>
              <w:t> Absatz 2 Satz 1, auch in Verbindung mit Satz 2, oder entgegen § </w:t>
            </w:r>
            <w:hyperlink r:id="rId53" w:history="1">
              <w:r w:rsidRPr="006B78D4">
                <w:rPr>
                  <w:rFonts w:ascii="Book Antiqua" w:eastAsia="Times New Roman" w:hAnsi="Book Antiqua" w:cs="Times New Roman"/>
                  <w:sz w:val="24"/>
                  <w:szCs w:val="24"/>
                  <w:lang w:eastAsia="de-DE"/>
                </w:rPr>
                <w:t>34</w:t>
              </w:r>
            </w:hyperlink>
            <w:r w:rsidRPr="006B78D4">
              <w:rPr>
                <w:rFonts w:ascii="Book Antiqua" w:eastAsia="Times New Roman" w:hAnsi="Book Antiqua" w:cs="Times New Roman"/>
                <w:sz w:val="24"/>
                <w:szCs w:val="24"/>
                <w:lang w:eastAsia="de-DE"/>
              </w:rPr>
              <w:t> Absatz 2 Satz 5, Absatz 3 Satz 1 oder Satz 2 oder Absatz 4 Satz 1, auch in Verbindung mit Satz 2, eine Auskunft nicht, nicht richtig, nicht vollständig oder nicht rechtzeitig erteilt oder entgegen § </w:t>
            </w:r>
            <w:hyperlink r:id="rId54" w:history="1">
              <w:r w:rsidRPr="006B78D4">
                <w:rPr>
                  <w:rFonts w:ascii="Book Antiqua" w:eastAsia="Times New Roman" w:hAnsi="Book Antiqua" w:cs="Times New Roman"/>
                  <w:sz w:val="24"/>
                  <w:szCs w:val="24"/>
                  <w:lang w:eastAsia="de-DE"/>
                </w:rPr>
                <w:t>34</w:t>
              </w:r>
            </w:hyperlink>
            <w:r w:rsidRPr="006B78D4">
              <w:rPr>
                <w:rFonts w:ascii="Book Antiqua" w:eastAsia="Times New Roman" w:hAnsi="Book Antiqua" w:cs="Times New Roman"/>
                <w:sz w:val="24"/>
                <w:szCs w:val="24"/>
                <w:lang w:eastAsia="de-DE"/>
              </w:rPr>
              <w:t> Absatz 1a Daten nicht speichert,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8b.</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55" w:history="1">
              <w:r w:rsidRPr="006B78D4">
                <w:rPr>
                  <w:rFonts w:ascii="Book Antiqua" w:eastAsia="Times New Roman" w:hAnsi="Book Antiqua" w:cs="Times New Roman"/>
                  <w:sz w:val="24"/>
                  <w:szCs w:val="24"/>
                  <w:lang w:eastAsia="de-DE"/>
                </w:rPr>
                <w:t>34</w:t>
              </w:r>
            </w:hyperlink>
            <w:r w:rsidRPr="006B78D4">
              <w:rPr>
                <w:rFonts w:ascii="Book Antiqua" w:eastAsia="Times New Roman" w:hAnsi="Book Antiqua" w:cs="Times New Roman"/>
                <w:sz w:val="24"/>
                <w:szCs w:val="24"/>
                <w:lang w:eastAsia="de-DE"/>
              </w:rPr>
              <w:t xml:space="preserve"> Abs. 2 Satz 3 Angaben nicht, nicht richtig, nicht vollständig </w:t>
            </w:r>
            <w:r w:rsidRPr="006B78D4">
              <w:rPr>
                <w:rFonts w:ascii="Book Antiqua" w:eastAsia="Times New Roman" w:hAnsi="Book Antiqua" w:cs="Times New Roman"/>
                <w:sz w:val="24"/>
                <w:szCs w:val="24"/>
                <w:lang w:eastAsia="de-DE"/>
              </w:rPr>
              <w:lastRenderedPageBreak/>
              <w:t>oder nicht rechtzeitig übermittelt,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8c.</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56" w:history="1">
              <w:r w:rsidRPr="006B78D4">
                <w:rPr>
                  <w:rFonts w:ascii="Book Antiqua" w:eastAsia="Times New Roman" w:hAnsi="Book Antiqua" w:cs="Times New Roman"/>
                  <w:sz w:val="24"/>
                  <w:szCs w:val="24"/>
                  <w:lang w:eastAsia="de-DE"/>
                </w:rPr>
                <w:t>34</w:t>
              </w:r>
            </w:hyperlink>
            <w:r w:rsidRPr="006B78D4">
              <w:rPr>
                <w:rFonts w:ascii="Book Antiqua" w:eastAsia="Times New Roman" w:hAnsi="Book Antiqua" w:cs="Times New Roman"/>
                <w:sz w:val="24"/>
                <w:szCs w:val="24"/>
                <w:lang w:eastAsia="de-DE"/>
              </w:rPr>
              <w:t> Abs. 2 Satz 4 den Betroffenen nicht oder nicht rechtzeitig an die andere Stelle verweist,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9.</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57" w:history="1">
              <w:r w:rsidRPr="006B78D4">
                <w:rPr>
                  <w:rFonts w:ascii="Book Antiqua" w:eastAsia="Times New Roman" w:hAnsi="Book Antiqua" w:cs="Times New Roman"/>
                  <w:sz w:val="24"/>
                  <w:szCs w:val="24"/>
                  <w:lang w:eastAsia="de-DE"/>
                </w:rPr>
                <w:t>35</w:t>
              </w:r>
            </w:hyperlink>
            <w:r w:rsidRPr="006B78D4">
              <w:rPr>
                <w:rFonts w:ascii="Book Antiqua" w:eastAsia="Times New Roman" w:hAnsi="Book Antiqua" w:cs="Times New Roman"/>
                <w:sz w:val="24"/>
                <w:szCs w:val="24"/>
                <w:lang w:eastAsia="de-DE"/>
              </w:rPr>
              <w:t> Abs. 6 Satz 3 Daten ohne Gegendarstellung übermittelt,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10.</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58" w:history="1">
              <w:r w:rsidRPr="006B78D4">
                <w:rPr>
                  <w:rFonts w:ascii="Book Antiqua" w:eastAsia="Times New Roman" w:hAnsi="Book Antiqua" w:cs="Times New Roman"/>
                  <w:sz w:val="24"/>
                  <w:szCs w:val="24"/>
                  <w:lang w:eastAsia="de-DE"/>
                </w:rPr>
                <w:t>38</w:t>
              </w:r>
            </w:hyperlink>
            <w:r w:rsidRPr="006B78D4">
              <w:rPr>
                <w:rFonts w:ascii="Book Antiqua" w:eastAsia="Times New Roman" w:hAnsi="Book Antiqua" w:cs="Times New Roman"/>
                <w:sz w:val="24"/>
                <w:szCs w:val="24"/>
                <w:lang w:eastAsia="de-DE"/>
              </w:rPr>
              <w:t> Abs. 3 Satz 1 oder Abs. 4 Satz 1 eine Auskunft nicht, nicht richtig, nicht vollständig oder nicht rechtzeitig erteilt oder eine Maßnahme nicht duldet oder</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11.</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einer vollziehbaren Anordnung nach § </w:t>
            </w:r>
            <w:hyperlink r:id="rId59" w:history="1">
              <w:r w:rsidRPr="006B78D4">
                <w:rPr>
                  <w:rFonts w:ascii="Book Antiqua" w:eastAsia="Times New Roman" w:hAnsi="Book Antiqua" w:cs="Times New Roman"/>
                  <w:sz w:val="24"/>
                  <w:szCs w:val="24"/>
                  <w:lang w:eastAsia="de-DE"/>
                </w:rPr>
                <w:t>38</w:t>
              </w:r>
            </w:hyperlink>
            <w:r w:rsidRPr="006B78D4">
              <w:rPr>
                <w:rFonts w:ascii="Book Antiqua" w:eastAsia="Times New Roman" w:hAnsi="Book Antiqua" w:cs="Times New Roman"/>
                <w:sz w:val="24"/>
                <w:szCs w:val="24"/>
                <w:lang w:eastAsia="de-DE"/>
              </w:rPr>
              <w:t> Abs. 5 Satz 1 zuwiderhandelt.</w:t>
            </w:r>
          </w:p>
        </w:tc>
      </w:tr>
    </w:tbl>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Ordnungswidrig handelt, wer vorsätzlich oder fahrlässig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583"/>
        <w:gridCol w:w="8498"/>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unbefugt personenbezogene Daten, die nicht allgemein zugänglich sind, erhebt oder verarbeitet,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unbefugt personenbezogene Daten, die nicht allgemein zugänglich sind, zum Abruf mittels automatisierten Verfahrens bereithält,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unbefugt personenbezogene Daten, die nicht allgemein zugänglich sind, abruft oder sich oder einem anderen aus automatisierten Verarbeitungen oder nicht automatisierten Dateien verschafft,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Übermittlung von personenbezogenen Daten, die nicht allgemein zugänglich sind, durch unrichtige Angaben erschleicht,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5.</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60" w:history="1">
              <w:r w:rsidRPr="006B78D4">
                <w:rPr>
                  <w:rFonts w:ascii="Book Antiqua" w:eastAsia="Times New Roman" w:hAnsi="Book Antiqua" w:cs="Times New Roman"/>
                  <w:sz w:val="24"/>
                  <w:szCs w:val="24"/>
                  <w:lang w:eastAsia="de-DE"/>
                </w:rPr>
                <w:t>16</w:t>
              </w:r>
            </w:hyperlink>
            <w:r w:rsidRPr="006B78D4">
              <w:rPr>
                <w:rFonts w:ascii="Book Antiqua" w:eastAsia="Times New Roman" w:hAnsi="Book Antiqua" w:cs="Times New Roman"/>
                <w:sz w:val="24"/>
                <w:szCs w:val="24"/>
                <w:lang w:eastAsia="de-DE"/>
              </w:rPr>
              <w:t> Abs. 4 Satz 1, § </w:t>
            </w:r>
            <w:hyperlink r:id="rId61" w:history="1">
              <w:r w:rsidRPr="006B78D4">
                <w:rPr>
                  <w:rFonts w:ascii="Book Antiqua" w:eastAsia="Times New Roman" w:hAnsi="Book Antiqua" w:cs="Times New Roman"/>
                  <w:sz w:val="24"/>
                  <w:szCs w:val="24"/>
                  <w:lang w:eastAsia="de-DE"/>
                </w:rPr>
                <w:t>28</w:t>
              </w:r>
            </w:hyperlink>
            <w:r w:rsidRPr="006B78D4">
              <w:rPr>
                <w:rFonts w:ascii="Book Antiqua" w:eastAsia="Times New Roman" w:hAnsi="Book Antiqua" w:cs="Times New Roman"/>
                <w:sz w:val="24"/>
                <w:szCs w:val="24"/>
                <w:lang w:eastAsia="de-DE"/>
              </w:rPr>
              <w:t> Abs. 5 Satz 1, auch in Verbindung mit § </w:t>
            </w:r>
            <w:hyperlink r:id="rId62" w:history="1">
              <w:r w:rsidRPr="006B78D4">
                <w:rPr>
                  <w:rFonts w:ascii="Book Antiqua" w:eastAsia="Times New Roman" w:hAnsi="Book Antiqua" w:cs="Times New Roman"/>
                  <w:sz w:val="24"/>
                  <w:szCs w:val="24"/>
                  <w:lang w:eastAsia="de-DE"/>
                </w:rPr>
                <w:t>29</w:t>
              </w:r>
            </w:hyperlink>
            <w:r w:rsidRPr="006B78D4">
              <w:rPr>
                <w:rFonts w:ascii="Book Antiqua" w:eastAsia="Times New Roman" w:hAnsi="Book Antiqua" w:cs="Times New Roman"/>
                <w:sz w:val="24"/>
                <w:szCs w:val="24"/>
                <w:lang w:eastAsia="de-DE"/>
              </w:rPr>
              <w:t> Abs. 4, § </w:t>
            </w:r>
            <w:hyperlink r:id="rId63" w:history="1">
              <w:r w:rsidRPr="006B78D4">
                <w:rPr>
                  <w:rFonts w:ascii="Book Antiqua" w:eastAsia="Times New Roman" w:hAnsi="Book Antiqua" w:cs="Times New Roman"/>
                  <w:sz w:val="24"/>
                  <w:szCs w:val="24"/>
                  <w:lang w:eastAsia="de-DE"/>
                </w:rPr>
                <w:t>39</w:t>
              </w:r>
            </w:hyperlink>
            <w:r w:rsidRPr="006B78D4">
              <w:rPr>
                <w:rFonts w:ascii="Book Antiqua" w:eastAsia="Times New Roman" w:hAnsi="Book Antiqua" w:cs="Times New Roman"/>
                <w:sz w:val="24"/>
                <w:szCs w:val="24"/>
                <w:lang w:eastAsia="de-DE"/>
              </w:rPr>
              <w:t> Abs. 1 Satz 1 oder § </w:t>
            </w:r>
            <w:hyperlink r:id="rId64" w:history="1">
              <w:r w:rsidRPr="006B78D4">
                <w:rPr>
                  <w:rFonts w:ascii="Book Antiqua" w:eastAsia="Times New Roman" w:hAnsi="Book Antiqua" w:cs="Times New Roman"/>
                  <w:sz w:val="24"/>
                  <w:szCs w:val="24"/>
                  <w:lang w:eastAsia="de-DE"/>
                </w:rPr>
                <w:t>40</w:t>
              </w:r>
            </w:hyperlink>
            <w:r w:rsidRPr="006B78D4">
              <w:rPr>
                <w:rFonts w:ascii="Book Antiqua" w:eastAsia="Times New Roman" w:hAnsi="Book Antiqua" w:cs="Times New Roman"/>
                <w:sz w:val="24"/>
                <w:szCs w:val="24"/>
                <w:lang w:eastAsia="de-DE"/>
              </w:rPr>
              <w:t> Abs. 1, die übermittelten Daten für andere Zwecke nutzt,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5a.</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65" w:history="1">
              <w:r w:rsidRPr="006B78D4">
                <w:rPr>
                  <w:rFonts w:ascii="Book Antiqua" w:eastAsia="Times New Roman" w:hAnsi="Book Antiqua" w:cs="Times New Roman"/>
                  <w:sz w:val="24"/>
                  <w:szCs w:val="24"/>
                  <w:lang w:eastAsia="de-DE"/>
                </w:rPr>
                <w:t>28</w:t>
              </w:r>
            </w:hyperlink>
            <w:r w:rsidRPr="006B78D4">
              <w:rPr>
                <w:rFonts w:ascii="Book Antiqua" w:eastAsia="Times New Roman" w:hAnsi="Book Antiqua" w:cs="Times New Roman"/>
                <w:sz w:val="24"/>
                <w:szCs w:val="24"/>
                <w:lang w:eastAsia="de-DE"/>
              </w:rPr>
              <w:t> Absatz 3b den Abschluss eines Vertrages von der Einwilligung des Betroffenen abhängig macht,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5b.</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66" w:history="1">
              <w:r w:rsidRPr="006B78D4">
                <w:rPr>
                  <w:rFonts w:ascii="Book Antiqua" w:eastAsia="Times New Roman" w:hAnsi="Book Antiqua" w:cs="Times New Roman"/>
                  <w:sz w:val="24"/>
                  <w:szCs w:val="24"/>
                  <w:lang w:eastAsia="de-DE"/>
                </w:rPr>
                <w:t>28</w:t>
              </w:r>
            </w:hyperlink>
            <w:r w:rsidRPr="006B78D4">
              <w:rPr>
                <w:rFonts w:ascii="Book Antiqua" w:eastAsia="Times New Roman" w:hAnsi="Book Antiqua" w:cs="Times New Roman"/>
                <w:sz w:val="24"/>
                <w:szCs w:val="24"/>
                <w:lang w:eastAsia="de-DE"/>
              </w:rPr>
              <w:t> Absatz 4 Satz 1 Daten für Zwecke der Werbung oder der Markt- oder Meinungsforschung verarbeitet oder nutzt,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6.</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67" w:history="1">
              <w:r w:rsidRPr="006B78D4">
                <w:rPr>
                  <w:rFonts w:ascii="Book Antiqua" w:eastAsia="Times New Roman" w:hAnsi="Book Antiqua" w:cs="Times New Roman"/>
                  <w:sz w:val="24"/>
                  <w:szCs w:val="24"/>
                  <w:lang w:eastAsia="de-DE"/>
                </w:rPr>
                <w:t>30</w:t>
              </w:r>
            </w:hyperlink>
            <w:r w:rsidRPr="006B78D4">
              <w:rPr>
                <w:rFonts w:ascii="Book Antiqua" w:eastAsia="Times New Roman" w:hAnsi="Book Antiqua" w:cs="Times New Roman"/>
                <w:sz w:val="24"/>
                <w:szCs w:val="24"/>
                <w:lang w:eastAsia="de-DE"/>
              </w:rPr>
              <w:t> Absatz 1 Satz 2, § </w:t>
            </w:r>
            <w:hyperlink r:id="rId68" w:history="1">
              <w:r w:rsidRPr="006B78D4">
                <w:rPr>
                  <w:rFonts w:ascii="Book Antiqua" w:eastAsia="Times New Roman" w:hAnsi="Book Antiqua" w:cs="Times New Roman"/>
                  <w:sz w:val="24"/>
                  <w:szCs w:val="24"/>
                  <w:lang w:eastAsia="de-DE"/>
                </w:rPr>
                <w:t>30a</w:t>
              </w:r>
            </w:hyperlink>
            <w:r w:rsidRPr="006B78D4">
              <w:rPr>
                <w:rFonts w:ascii="Book Antiqua" w:eastAsia="Times New Roman" w:hAnsi="Book Antiqua" w:cs="Times New Roman"/>
                <w:sz w:val="24"/>
                <w:szCs w:val="24"/>
                <w:lang w:eastAsia="de-DE"/>
              </w:rPr>
              <w:t> Absatz 3 Satz 3 oder § </w:t>
            </w:r>
            <w:hyperlink r:id="rId69" w:history="1">
              <w:r w:rsidRPr="006B78D4">
                <w:rPr>
                  <w:rFonts w:ascii="Book Antiqua" w:eastAsia="Times New Roman" w:hAnsi="Book Antiqua" w:cs="Times New Roman"/>
                  <w:sz w:val="24"/>
                  <w:szCs w:val="24"/>
                  <w:lang w:eastAsia="de-DE"/>
                </w:rPr>
                <w:t>40</w:t>
              </w:r>
            </w:hyperlink>
            <w:r w:rsidRPr="006B78D4">
              <w:rPr>
                <w:rFonts w:ascii="Book Antiqua" w:eastAsia="Times New Roman" w:hAnsi="Book Antiqua" w:cs="Times New Roman"/>
                <w:sz w:val="24"/>
                <w:szCs w:val="24"/>
                <w:lang w:eastAsia="de-DE"/>
              </w:rPr>
              <w:t> Absatz 2 Satz 3 ein dort genanntes Merkmal mit einer Einzelangabe zusammenführt oder</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7.</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entgegen § </w:t>
            </w:r>
            <w:hyperlink r:id="rId70" w:history="1">
              <w:r w:rsidRPr="006B78D4">
                <w:rPr>
                  <w:rFonts w:ascii="Book Antiqua" w:eastAsia="Times New Roman" w:hAnsi="Book Antiqua" w:cs="Times New Roman"/>
                  <w:sz w:val="24"/>
                  <w:szCs w:val="24"/>
                  <w:lang w:eastAsia="de-DE"/>
                </w:rPr>
                <w:t>42a</w:t>
              </w:r>
            </w:hyperlink>
            <w:r w:rsidRPr="006B78D4">
              <w:rPr>
                <w:rFonts w:ascii="Book Antiqua" w:eastAsia="Times New Roman" w:hAnsi="Book Antiqua" w:cs="Times New Roman"/>
                <w:sz w:val="24"/>
                <w:szCs w:val="24"/>
                <w:lang w:eastAsia="de-DE"/>
              </w:rPr>
              <w:t> Satz 1 eine Mitteilung nicht, nicht richtig, nicht vollständig oder nicht rechtzeitig macht.</w:t>
            </w:r>
          </w:p>
        </w:tc>
      </w:tr>
    </w:tbl>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 Die Ordnungswidrigkeit kann im Fall des Absatzes 1 mit einer Geldbuße bis zu fünfzigtausend Euro, in den Fällen des Absatzes 2 mit einer Geldbuße bis zu dreihunderttausend Euro geahndet werden. Die Geldbuße soll den wirtschaftlichen Vorteil, den der Täter aus der Ordnungswidrigkeit gezogen hat, übersteigen. Reichen die in Satz 1 genannten Beträge hierfür nicht aus, so können sie überschritten werden.</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44 BDSG - </w:t>
      </w:r>
      <w:r w:rsidRPr="006B78D4">
        <w:rPr>
          <w:rFonts w:ascii="Book Antiqua" w:eastAsia="Times New Roman" w:hAnsi="Book Antiqua" w:cs="Times New Roman"/>
          <w:b/>
          <w:bCs/>
          <w:kern w:val="36"/>
          <w:sz w:val="24"/>
          <w:szCs w:val="24"/>
          <w:lang w:eastAsia="de-DE"/>
        </w:rPr>
        <w:t>Strafvorschriften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Wer eine in § </w:t>
      </w:r>
      <w:hyperlink r:id="rId71" w:history="1">
        <w:r w:rsidRPr="006B78D4">
          <w:rPr>
            <w:rFonts w:ascii="Book Antiqua" w:eastAsia="Times New Roman" w:hAnsi="Book Antiqua" w:cs="Times New Roman"/>
            <w:sz w:val="24"/>
            <w:szCs w:val="24"/>
            <w:lang w:eastAsia="de-DE"/>
          </w:rPr>
          <w:t>43</w:t>
        </w:r>
      </w:hyperlink>
      <w:r w:rsidRPr="006B78D4">
        <w:rPr>
          <w:rFonts w:ascii="Book Antiqua" w:eastAsia="Times New Roman" w:hAnsi="Book Antiqua" w:cs="Times New Roman"/>
          <w:sz w:val="24"/>
          <w:szCs w:val="24"/>
          <w:lang w:eastAsia="de-DE"/>
        </w:rPr>
        <w:t> Abs. 2 bezeichnete vorsätzliche Handlung gegen Entgelt oder in der Absicht, sich oder einen anderen zu bereichern oder einen anderen zu schädigen, begeht, wird mit Freiheitsstrafe bis zu zwei Jahren oder mit Geldstrafe bestraft.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Die Tat wird nur auf Antrag verfolgt. Antragsberechtigt sind der Betroffene, die verantwortliche Stelle, die oder der Bundesbeauftragte für den Datenschutz und die Informationsfreiheit und die Aufsichtsbehörde.</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312i BGB - </w:t>
      </w:r>
      <w:r w:rsidRPr="006B78D4">
        <w:rPr>
          <w:rFonts w:ascii="Book Antiqua" w:eastAsia="Times New Roman" w:hAnsi="Book Antiqua" w:cs="Times New Roman"/>
          <w:b/>
          <w:bCs/>
          <w:kern w:val="36"/>
          <w:sz w:val="24"/>
          <w:szCs w:val="24"/>
          <w:lang w:eastAsia="de-DE"/>
        </w:rPr>
        <w:t>Allgemeine Pflichten im elektronischen Geschäftsverkehr</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Bedient sich ein Unternehmer zum Zwecke des Abschlusses eines Vertrags über die Lieferung von Waren oder über die Erbringung von Dienstleistungen der Telemedien (Vertrag im elektronischen Geschäftsverkehr), hat er dem Kunden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450"/>
        <w:gridCol w:w="8631"/>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angemessene, wirksame und zugängliche technische Mittel zur Verfügung zu stellen, mit deren Hilfe der Kunde Eingabefehler vor Abgabe seiner Bestellung erkennen und berichtigen kann,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in Artikel </w:t>
            </w:r>
            <w:hyperlink r:id="rId72" w:history="1">
              <w:r w:rsidRPr="006B78D4">
                <w:rPr>
                  <w:rFonts w:ascii="Book Antiqua" w:eastAsia="Times New Roman" w:hAnsi="Book Antiqua" w:cs="Times New Roman"/>
                  <w:sz w:val="24"/>
                  <w:szCs w:val="24"/>
                  <w:lang w:eastAsia="de-DE"/>
                </w:rPr>
                <w:t>246c</w:t>
              </w:r>
            </w:hyperlink>
            <w:r w:rsidRPr="006B78D4">
              <w:rPr>
                <w:rFonts w:ascii="Book Antiqua" w:eastAsia="Times New Roman" w:hAnsi="Book Antiqua" w:cs="Times New Roman"/>
                <w:sz w:val="24"/>
                <w:szCs w:val="24"/>
                <w:lang w:eastAsia="de-DE"/>
              </w:rPr>
              <w:t> des Einführungsgesetzes zum Bürgerlichen Gesetzbuche bestimmten Informationen rechtzeitig vor Abgabe von dessen Bestellung klar und verständlich mitzuteilen,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den Zugang von dessen Bestellung unverzüglich auf elektronischem Wege zu bestätigen und</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Möglichkeit zu verschaffen, die Vertragsbestimmungen einschließlich der Allgemeinen Geschäftsbedingungen bei Vertragsschluss abzurufen und in wiedergabefähiger Form zu speichern.</w:t>
            </w:r>
          </w:p>
        </w:tc>
      </w:tr>
    </w:tbl>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Bestellung und Empfangsbestätigung im Sinne von Satz 1 Nummer 3 gelten als zugegangen, wenn die Parteien, für die sie bestimmt sind, sie unter gewöhnlichen Umständen abrufen können.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Absatz 1 Satz 1 Nummer 1 bis 3 ist nicht anzuwenden, wenn der Vertrag ausschließlich durch individuelle Kommunikation geschlossen wird. Absatz 1 Satz 1 Nummer 1 bis 3 und Satz 2 ist nicht anzuwenden, wenn zwischen Vertragsparteien, die nicht Verbraucher sind, etwas anderes vereinbart wird.</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 Weitergehende Informationspflichten auf Grund anderer Vorschriften bleiben unberührt.</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312j BGB - </w:t>
      </w:r>
      <w:r w:rsidRPr="006B78D4">
        <w:rPr>
          <w:rFonts w:ascii="Book Antiqua" w:eastAsia="Times New Roman" w:hAnsi="Book Antiqua" w:cs="Times New Roman"/>
          <w:b/>
          <w:bCs/>
          <w:kern w:val="36"/>
          <w:sz w:val="24"/>
          <w:szCs w:val="24"/>
          <w:lang w:eastAsia="de-DE"/>
        </w:rPr>
        <w:t>Besondere Pflichten im elektronischen Geschäftsverkehr gegenüber Verbrauchern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Auf Webseiten für den elektronischen Geschäftsverkehr mit Verbrauchern hat der Unternehmer zusätzlich zu den Angaben nach § </w:t>
      </w:r>
      <w:hyperlink r:id="rId73" w:history="1">
        <w:r w:rsidRPr="006B78D4">
          <w:rPr>
            <w:rFonts w:ascii="Book Antiqua" w:eastAsia="Times New Roman" w:hAnsi="Book Antiqua" w:cs="Times New Roman"/>
            <w:sz w:val="24"/>
            <w:szCs w:val="24"/>
            <w:lang w:eastAsia="de-DE"/>
          </w:rPr>
          <w:t>312i</w:t>
        </w:r>
      </w:hyperlink>
      <w:r w:rsidRPr="006B78D4">
        <w:rPr>
          <w:rFonts w:ascii="Book Antiqua" w:eastAsia="Times New Roman" w:hAnsi="Book Antiqua" w:cs="Times New Roman"/>
          <w:sz w:val="24"/>
          <w:szCs w:val="24"/>
          <w:lang w:eastAsia="de-DE"/>
        </w:rPr>
        <w:t> Absatz 1 spätestens bei Beginn des Bestellvorgangs klar und deutlich anzugeben, ob Lieferbeschränkungen bestehen und welche Zahlungsmittel akzeptiert werden.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Bei einem Verbrauchervertrag im elektronischen Geschäftsverkehr, der eine entgeltliche Leistung des Unternehmers zum Gegenstand hat, muss der Unternehmer dem Verbraucher die Informationen gemäß Artikel </w:t>
      </w:r>
      <w:hyperlink r:id="rId74" w:history="1">
        <w:r w:rsidRPr="006B78D4">
          <w:rPr>
            <w:rFonts w:ascii="Book Antiqua" w:eastAsia="Times New Roman" w:hAnsi="Book Antiqua" w:cs="Times New Roman"/>
            <w:sz w:val="24"/>
            <w:szCs w:val="24"/>
            <w:lang w:eastAsia="de-DE"/>
          </w:rPr>
          <w:t>246a</w:t>
        </w:r>
      </w:hyperlink>
      <w:r w:rsidRPr="006B78D4">
        <w:rPr>
          <w:rFonts w:ascii="Book Antiqua" w:eastAsia="Times New Roman" w:hAnsi="Book Antiqua" w:cs="Times New Roman"/>
          <w:sz w:val="24"/>
          <w:szCs w:val="24"/>
          <w:lang w:eastAsia="de-DE"/>
        </w:rPr>
        <w:t> § 1 Absatz 1 Satz 1 Nummer 1, 4, 5, 11 und 12 des Einführungsgesetzes zum Bürgerlichen Gesetzbuche, unmittelbar bevor der Verbraucher seine Bestellung abgibt, klar und verständlich in hervorgehobener Weise zur Verfügung stellen.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 Der Unternehmer hat die Bestellsituation bei einem Vertrag nach Absatz 2 so zu gestalten, dass der Verbraucher mit seiner Bestellung ausdrücklich bestätigt, dass er sich zu einer Zahlung verpflichtet. Erfolgt die Bestellung über eine Schaltfläche, ist die Pflicht des Unternehmers aus Satz 1 nur erfüllt, wenn diese Schaltfläche gut lesbar mit nichts anderem als den Wörtern "zahlungspflichtig bestellen" oder mit einer entsprechenden eindeutigen Formulierung beschriftet ist.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 Ein Vertrag nach Absatz 2 kommt nur zustande, wenn der Unternehmer seine Pflicht aus Absatz 3 erfüllt.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(5) Die Absätze 2 bis 4 sind nicht anzuwenden, wenn der Vertrag ausschließlich durch individuelle Kommunikation geschlossen wird. Die Pflichten aus den </w:t>
      </w:r>
      <w:r w:rsidRPr="006B78D4">
        <w:rPr>
          <w:rFonts w:ascii="Book Antiqua" w:eastAsia="Times New Roman" w:hAnsi="Book Antiqua" w:cs="Times New Roman"/>
          <w:sz w:val="24"/>
          <w:szCs w:val="24"/>
          <w:lang w:eastAsia="de-DE"/>
        </w:rPr>
        <w:lastRenderedPageBreak/>
        <w:t>Absätzen 1 und 2 gelten weder für Webseiten, die Finanzdienstleistungen betreffen, noch für Verträge über Finanzdienstleistungen.</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Art. 246c EGBGB - </w:t>
      </w:r>
      <w:r w:rsidRPr="006B78D4">
        <w:rPr>
          <w:rFonts w:ascii="Book Antiqua" w:eastAsia="Times New Roman" w:hAnsi="Book Antiqua" w:cs="Times New Roman"/>
          <w:b/>
          <w:bCs/>
          <w:kern w:val="36"/>
          <w:sz w:val="24"/>
          <w:szCs w:val="24"/>
          <w:lang w:eastAsia="de-DE"/>
        </w:rPr>
        <w:t>Informationspflichten bei Verträgen im elektronischen Geschäftsverkehr</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Verträgen im elektronischen Geschäftsverkehr muss der Unternehmer den Kunden unterrichten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450"/>
        <w:gridCol w:w="8631"/>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über die einzelnen technischen Schritte, die zu einem Vertragsschluss führen,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darüber, ob der Vertragstext nach dem Vertragsschluss von dem Unternehmer gespeichert wird und ob er dem Kunden zugänglich ist,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darüber, wie er mit den nach § </w:t>
            </w:r>
            <w:hyperlink r:id="rId75" w:history="1">
              <w:r w:rsidRPr="006B78D4">
                <w:rPr>
                  <w:rFonts w:ascii="Book Antiqua" w:eastAsia="Times New Roman" w:hAnsi="Book Antiqua" w:cs="Times New Roman"/>
                  <w:sz w:val="24"/>
                  <w:szCs w:val="24"/>
                  <w:lang w:eastAsia="de-DE"/>
                </w:rPr>
                <w:t>312i</w:t>
              </w:r>
            </w:hyperlink>
            <w:r w:rsidRPr="006B78D4">
              <w:rPr>
                <w:rFonts w:ascii="Book Antiqua" w:eastAsia="Times New Roman" w:hAnsi="Book Antiqua" w:cs="Times New Roman"/>
                <w:sz w:val="24"/>
                <w:szCs w:val="24"/>
                <w:lang w:eastAsia="de-DE"/>
              </w:rPr>
              <w:t> Absatz 1 Satz 1 Nummer 1 des Bürgerlichen Gesetzbuchs zur Verfügung gestellten technischen Mitteln Eingabefehler vor Abgabe der Vertragserklärung erkennen und berichtigen kann,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über die für den Vertragsschluss zur Verfügung stehenden Sprachen und</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5.</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über sämtliche einschlägigen Verhaltenskodizes, denen sich der Unternehmer unterwirft, sowie über die Möglichkeit eines elektronischen Zugangs zu diesen Regelwerken.</w:t>
            </w:r>
          </w:p>
          <w:p w:rsidR="00ED2A01" w:rsidRPr="006B78D4" w:rsidRDefault="00ED2A01" w:rsidP="00ED2A01">
            <w:pPr>
              <w:spacing w:after="150" w:line="240" w:lineRule="auto"/>
              <w:rPr>
                <w:rFonts w:ascii="Book Antiqua" w:eastAsia="Times New Roman" w:hAnsi="Book Antiqua" w:cs="Times New Roman"/>
                <w:sz w:val="24"/>
                <w:szCs w:val="24"/>
                <w:lang w:eastAsia="de-DE"/>
              </w:rPr>
            </w:pPr>
          </w:p>
        </w:tc>
      </w:tr>
    </w:tbl>
    <w:p w:rsidR="00ED2A01" w:rsidRPr="006B78D4" w:rsidRDefault="00ED2A01" w:rsidP="00ED2A01">
      <w:pPr>
        <w:shd w:val="clear" w:color="auto" w:fill="FFFFFF"/>
        <w:spacing w:before="375" w:after="200" w:line="312" w:lineRule="atLeast"/>
        <w:outlineLvl w:val="0"/>
        <w:rPr>
          <w:rFonts w:ascii="Book Antiqua" w:eastAsia="Times New Roman" w:hAnsi="Book Antiqua" w:cs="Times New Roman"/>
          <w:b/>
          <w:bCs/>
          <w:kern w:val="36"/>
          <w:sz w:val="24"/>
          <w:szCs w:val="24"/>
          <w:lang w:eastAsia="de-DE"/>
        </w:rPr>
      </w:pPr>
      <w:r w:rsidRPr="006B78D4">
        <w:rPr>
          <w:rFonts w:ascii="Book Antiqua" w:hAnsi="Book Antiqua"/>
          <w:b/>
          <w:sz w:val="24"/>
          <w:szCs w:val="24"/>
        </w:rPr>
        <w:t xml:space="preserve">Art. 246a - </w:t>
      </w:r>
      <w:r w:rsidRPr="006B78D4">
        <w:rPr>
          <w:rFonts w:ascii="Book Antiqua" w:eastAsia="Times New Roman" w:hAnsi="Book Antiqua" w:cs="Times New Roman"/>
          <w:b/>
          <w:bCs/>
          <w:kern w:val="36"/>
          <w:sz w:val="24"/>
          <w:szCs w:val="24"/>
          <w:lang w:eastAsia="de-DE"/>
        </w:rPr>
        <w:t>Informationspflichten bei außerhalb von Geschäftsräumen geschlossenen Verträgen und Fernabsatzverträgen mit Ausnahme von Verträgen über Finanzdienstleistungen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b/>
          <w:bCs/>
          <w:sz w:val="24"/>
          <w:szCs w:val="24"/>
          <w:lang w:eastAsia="de-DE"/>
        </w:rPr>
        <w:t>§ 1 Informationspflichten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 Der Unternehmer ist nach § </w:t>
      </w:r>
      <w:hyperlink r:id="rId76" w:history="1">
        <w:r w:rsidRPr="006B78D4">
          <w:rPr>
            <w:rFonts w:ascii="Book Antiqua" w:eastAsia="Times New Roman" w:hAnsi="Book Antiqua" w:cs="Times New Roman"/>
            <w:sz w:val="24"/>
            <w:szCs w:val="24"/>
            <w:lang w:eastAsia="de-DE"/>
          </w:rPr>
          <w:t>312d</w:t>
        </w:r>
      </w:hyperlink>
      <w:r w:rsidRPr="006B78D4">
        <w:rPr>
          <w:rFonts w:ascii="Book Antiqua" w:eastAsia="Times New Roman" w:hAnsi="Book Antiqua" w:cs="Times New Roman"/>
          <w:sz w:val="24"/>
          <w:szCs w:val="24"/>
          <w:lang w:eastAsia="de-DE"/>
        </w:rPr>
        <w:t> Absatz 1 des Bürgerlichen Gesetzbuchs verpflichtet, dem Verbraucher folgende Informationen zur Verfügung zu stellen: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570"/>
        <w:gridCol w:w="8511"/>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wesentlichen Eigenschaften der Waren oder Dienstleistungen in dem für das Kommunikationsmittel und für die Waren und Dienstleistungen angemessenen Umfang,</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seine Identität, beispielsweise seinen Handelsnamen sowie die Anschrift des Ortes, an dem er niedergelassen ist, seine Telefonnummer und gegebenenfalls seine Telefaxnummer und E-Mail-Adresse sowie gegebenenfalls die Anschrift und die Identität des Unternehmers, in dessen Auftrag er handelt,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zusätzlich zu den Angaben gemäß Nummer 2 die Geschäftsanschrift des Unternehmers und gegebenenfalls die Anschrift des Unternehmers, in dessen Auftrag er handelt, an die sich der Verbraucher mit jeder Beschwerde wenden kann, falls diese Anschrift von der Anschrift unter Nummer 2 abweicht,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den Gesamtpreis der Waren oder Dienstleistungen einschließlich aller Steuern und Abgaben, oder in den Fällen, in denen der Preis auf Grund der Beschaffenheit der Waren oder Dienstleistungen vernünftigerweise nicht im Voraus berechnet werden kann, die Art der Preisberechnung sowie gegebenenfalls alle zusätzlichen Fracht-, Liefer- oder Versandkosten und alle sonstigen Kosten, oder in den Fällen, in denen diese Kosten vernünftigerweise nicht im Voraus berechnet werden können, die Tatsache, dass solche zusätzlichen Kosten anfallen können,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5.</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im Falle eines unbefristeten Vertrags oder eines Abonnement-Vertrags den Gesamtpreis; dieser umfasst die pro Abrechnungszeitraum anfallenden Gesamtkosten und, wenn für einen solchen Vertrag Festbeträge in Rechnung gestellt werden, ebenfalls die monatlichen Gesamtkosten; wenn die Gesamtkosten vernünftigerweise nicht im Voraus berechnet werden können, ist die Art der Preisberechnung anzugeben,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6.</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Kosten für den Einsatz des für den Vertragsabschluss genutzten Fernkommunikationsmittels, sofern dem Verbraucher Kosten berechnet werden, die über die Kosten für die bloße Nutzung des Fernkommunikationsmittels hinausgehen,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7.</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Zahlungs-, Liefer- und Leistungsbedingungen, den Termin, bis zu dem der Unternehmer die Waren liefern oder die Dienstleistung erbringen muss, und gegebenenfalls das Verfahren des Unternehmers zum Umgang mit Beschwerden,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8.</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das Bestehen eines gesetzlichen Mängelhaftungsrechts für die Waren,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9.</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gegebenenfalls das Bestehen und die Bedingungen von Kundendienst, Kundendienstleistungen und Garantien,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10.</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gegebenenfalls bestehende einschlägige Verhaltenskodizes gemäß Artikel 2 Buchstabe f der </w:t>
            </w:r>
            <w:hyperlink r:id="rId77" w:history="1">
              <w:r w:rsidRPr="006B78D4">
                <w:rPr>
                  <w:rFonts w:ascii="Book Antiqua" w:eastAsia="Times New Roman" w:hAnsi="Book Antiqua" w:cs="Times New Roman"/>
                  <w:sz w:val="24"/>
                  <w:szCs w:val="24"/>
                  <w:lang w:eastAsia="de-DE"/>
                </w:rPr>
                <w:t>Richtlinie 2005/29/EG</w:t>
              </w:r>
            </w:hyperlink>
            <w:r w:rsidRPr="006B78D4">
              <w:rPr>
                <w:rFonts w:ascii="Book Antiqua" w:eastAsia="Times New Roman" w:hAnsi="Book Antiqua" w:cs="Times New Roman"/>
                <w:sz w:val="24"/>
                <w:szCs w:val="24"/>
                <w:lang w:eastAsia="de-DE"/>
              </w:rPr>
              <w:t> des Europäischen Parlaments und des Rates vom 11. Mai 2005 über unlautere Geschäftspraktiken im binnenmarktinternen Geschäftsverkehr zwischen Unternehmen und Verbrauchern und zur Änderung der </w:t>
            </w:r>
            <w:hyperlink r:id="rId78" w:history="1">
              <w:r w:rsidRPr="006B78D4">
                <w:rPr>
                  <w:rFonts w:ascii="Book Antiqua" w:eastAsia="Times New Roman" w:hAnsi="Book Antiqua" w:cs="Times New Roman"/>
                  <w:sz w:val="24"/>
                  <w:szCs w:val="24"/>
                  <w:lang w:eastAsia="de-DE"/>
                </w:rPr>
                <w:t>Richtlinie 84/450/EWG</w:t>
              </w:r>
            </w:hyperlink>
            <w:r w:rsidRPr="006B78D4">
              <w:rPr>
                <w:rFonts w:ascii="Book Antiqua" w:eastAsia="Times New Roman" w:hAnsi="Book Antiqua" w:cs="Times New Roman"/>
                <w:sz w:val="24"/>
                <w:szCs w:val="24"/>
                <w:lang w:eastAsia="de-DE"/>
              </w:rPr>
              <w:t> des Rates, der Richtlinien </w:t>
            </w:r>
            <w:hyperlink r:id="rId79" w:history="1">
              <w:r w:rsidRPr="006B78D4">
                <w:rPr>
                  <w:rFonts w:ascii="Book Antiqua" w:eastAsia="Times New Roman" w:hAnsi="Book Antiqua" w:cs="Times New Roman"/>
                  <w:sz w:val="24"/>
                  <w:szCs w:val="24"/>
                  <w:lang w:eastAsia="de-DE"/>
                </w:rPr>
                <w:t>97/7/EG</w:t>
              </w:r>
            </w:hyperlink>
            <w:r w:rsidRPr="006B78D4">
              <w:rPr>
                <w:rFonts w:ascii="Book Antiqua" w:eastAsia="Times New Roman" w:hAnsi="Book Antiqua" w:cs="Times New Roman"/>
                <w:sz w:val="24"/>
                <w:szCs w:val="24"/>
                <w:lang w:eastAsia="de-DE"/>
              </w:rPr>
              <w:t>, </w:t>
            </w:r>
            <w:hyperlink r:id="rId80" w:history="1">
              <w:r w:rsidRPr="006B78D4">
                <w:rPr>
                  <w:rFonts w:ascii="Book Antiqua" w:eastAsia="Times New Roman" w:hAnsi="Book Antiqua" w:cs="Times New Roman"/>
                  <w:sz w:val="24"/>
                  <w:szCs w:val="24"/>
                  <w:lang w:eastAsia="de-DE"/>
                </w:rPr>
                <w:t>98/27/EG</w:t>
              </w:r>
            </w:hyperlink>
            <w:r w:rsidRPr="006B78D4">
              <w:rPr>
                <w:rFonts w:ascii="Book Antiqua" w:eastAsia="Times New Roman" w:hAnsi="Book Antiqua" w:cs="Times New Roman"/>
                <w:sz w:val="24"/>
                <w:szCs w:val="24"/>
                <w:lang w:eastAsia="de-DE"/>
              </w:rPr>
              <w:t> und </w:t>
            </w:r>
            <w:hyperlink r:id="rId81" w:history="1">
              <w:r w:rsidRPr="006B78D4">
                <w:rPr>
                  <w:rFonts w:ascii="Book Antiqua" w:eastAsia="Times New Roman" w:hAnsi="Book Antiqua" w:cs="Times New Roman"/>
                  <w:sz w:val="24"/>
                  <w:szCs w:val="24"/>
                  <w:lang w:eastAsia="de-DE"/>
                </w:rPr>
                <w:t>2002/65/EG</w:t>
              </w:r>
            </w:hyperlink>
            <w:r w:rsidRPr="006B78D4">
              <w:rPr>
                <w:rFonts w:ascii="Book Antiqua" w:eastAsia="Times New Roman" w:hAnsi="Book Antiqua" w:cs="Times New Roman"/>
                <w:sz w:val="24"/>
                <w:szCs w:val="24"/>
                <w:lang w:eastAsia="de-DE"/>
              </w:rPr>
              <w:t> des Europäischen Parlaments und des Rates sowie der </w:t>
            </w:r>
            <w:hyperlink r:id="rId82" w:history="1">
              <w:r w:rsidRPr="006B78D4">
                <w:rPr>
                  <w:rFonts w:ascii="Book Antiqua" w:eastAsia="Times New Roman" w:hAnsi="Book Antiqua" w:cs="Times New Roman"/>
                  <w:sz w:val="24"/>
                  <w:szCs w:val="24"/>
                  <w:lang w:eastAsia="de-DE"/>
                </w:rPr>
                <w:t>Verordnung (EG) Nr. 2006/2004</w:t>
              </w:r>
            </w:hyperlink>
            <w:r w:rsidRPr="006B78D4">
              <w:rPr>
                <w:rFonts w:ascii="Book Antiqua" w:eastAsia="Times New Roman" w:hAnsi="Book Antiqua" w:cs="Times New Roman"/>
                <w:sz w:val="24"/>
                <w:szCs w:val="24"/>
                <w:lang w:eastAsia="de-DE"/>
              </w:rPr>
              <w:t>des Europäischen Parlaments und des Rates (</w:t>
            </w:r>
            <w:proofErr w:type="spellStart"/>
            <w:r w:rsidRPr="006B78D4">
              <w:rPr>
                <w:sz w:val="24"/>
                <w:szCs w:val="24"/>
              </w:rPr>
              <w:fldChar w:fldCharType="begin"/>
            </w:r>
            <w:r w:rsidRPr="006B78D4">
              <w:rPr>
                <w:sz w:val="24"/>
                <w:szCs w:val="24"/>
              </w:rPr>
              <w:instrText xml:space="preserve"> HYPERLINK "http://eur-lex.europa.eu/legal-content/DE/AUTO/?uri=uriserv:OJ.L_.2005.149.01.0022.01.DEU&amp;locale=de&amp;toc=OJ:L:2005:149:TOC" </w:instrText>
            </w:r>
            <w:r w:rsidRPr="006B78D4">
              <w:rPr>
                <w:sz w:val="24"/>
                <w:szCs w:val="24"/>
              </w:rPr>
              <w:fldChar w:fldCharType="separate"/>
            </w:r>
            <w:r w:rsidRPr="006B78D4">
              <w:rPr>
                <w:rFonts w:ascii="Book Antiqua" w:eastAsia="Times New Roman" w:hAnsi="Book Antiqua" w:cs="Times New Roman"/>
                <w:sz w:val="24"/>
                <w:szCs w:val="24"/>
                <w:lang w:eastAsia="de-DE"/>
              </w:rPr>
              <w:t>ABl.</w:t>
            </w:r>
            <w:proofErr w:type="spellEnd"/>
            <w:r w:rsidRPr="006B78D4">
              <w:rPr>
                <w:rFonts w:ascii="Book Antiqua" w:eastAsia="Times New Roman" w:hAnsi="Book Antiqua" w:cs="Times New Roman"/>
                <w:sz w:val="24"/>
                <w:szCs w:val="24"/>
                <w:lang w:eastAsia="de-DE"/>
              </w:rPr>
              <w:t xml:space="preserve"> L 149 vom 11.6.2005, S. 22</w:t>
            </w:r>
            <w:r w:rsidRPr="006B78D4">
              <w:rPr>
                <w:rFonts w:ascii="Book Antiqua" w:eastAsia="Times New Roman" w:hAnsi="Book Antiqua" w:cs="Times New Roman"/>
                <w:sz w:val="24"/>
                <w:szCs w:val="24"/>
                <w:lang w:eastAsia="de-DE"/>
              </w:rPr>
              <w:fldChar w:fldCharType="end"/>
            </w:r>
            <w:r w:rsidRPr="006B78D4">
              <w:rPr>
                <w:rFonts w:ascii="Book Antiqua" w:eastAsia="Times New Roman" w:hAnsi="Book Antiqua" w:cs="Times New Roman"/>
                <w:sz w:val="24"/>
                <w:szCs w:val="24"/>
                <w:lang w:eastAsia="de-DE"/>
              </w:rPr>
              <w:t>) und wie Exemplare davon erhalten werden können,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11.</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gegebenenfalls die Laufzeit des Vertrags oder die Bedingungen der Kündigung unbefristeter Verträge oder sich automatisch verlängernder Verträge,</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12.</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gegebenenfalls die Mindestdauer der Verpflichtungen, die der Verbraucher mit dem Vertrag eingeht,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13.</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gegebenenfalls die Tatsache, dass der Unternehmer vom Verbraucher die Stellung einer Kaution oder die Leistung anderer finanzieller Sicherheiten verlangen kann, sowie deren Bedingungen,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14.</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gegebenenfalls die Funktionsweise digitaler Inhalte, einschließlich anwendbarer technischer Schutzmaßnahmen für solche Inhalte,</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15.</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gegebenenfalls, soweit wesentlich, Beschränkungen der Interoperabilität und der Kompatibilität digitaler Inhalte mit Hard- und Software, soweit diese Beschränkungen dem Unternehmer bekannt sind oder bekannt sein müssen, und</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16.</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gegebenenfalls, dass der Verbraucher ein außergerichtliches Beschwerde- und Rechtsbehelfsverfahren, dem der Unternehmer unterworfen ist, nutzen kann, und dessen Zugangsvoraussetzungen.</w:t>
            </w:r>
          </w:p>
        </w:tc>
      </w:tr>
    </w:tbl>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Wird der Vertrag im Rahmen einer öffentlich zugänglichen Versteigerung geschlossen, können anstelle der Angaben nach Satz 1 Nummer 2 und 3 die entsprechenden Angaben des Versteigerers zur Verfügung gestellt werden.</w:t>
      </w:r>
    </w:p>
    <w:p w:rsidR="00ED2A01" w:rsidRDefault="00ED2A01" w:rsidP="00ED2A01">
      <w:pPr>
        <w:spacing w:after="200" w:line="276" w:lineRule="auto"/>
        <w:rPr>
          <w:rFonts w:ascii="Book Antiqua" w:hAnsi="Book Antiqua"/>
          <w:b/>
          <w:sz w:val="24"/>
          <w:szCs w:val="24"/>
        </w:rPr>
      </w:pPr>
    </w:p>
    <w:p w:rsidR="006B78D4" w:rsidRPr="006B78D4" w:rsidRDefault="006B78D4"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lastRenderedPageBreak/>
        <w:t xml:space="preserve">§ 126 BGB - </w:t>
      </w:r>
      <w:r w:rsidRPr="006B78D4">
        <w:rPr>
          <w:rFonts w:ascii="Book Antiqua" w:eastAsia="Times New Roman" w:hAnsi="Book Antiqua" w:cs="Times New Roman"/>
          <w:b/>
          <w:bCs/>
          <w:kern w:val="36"/>
          <w:sz w:val="24"/>
          <w:szCs w:val="24"/>
          <w:lang w:eastAsia="de-DE"/>
        </w:rPr>
        <w:t>Schriftform</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Ist durch Gesetz schriftliche Form vorgeschrieben, so muss die Urkunde von dem Aussteller eigenhändig durch Namensunterschrift oder mittels notariell beglaubigten Handzeichens unterzeichnet werden.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Bei einem Vertrag muss die Unterzeichnung der Parteien auf derselben Urkunde erfolgen. Werden über den Vertrag mehrere gleichlautende Urkunden aufgenommen, so genügt es, wenn jede Partei die für die andere Partei bestimmte Urkunde unterzeichnet.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 Die schriftliche Form kann durch die elektronische Form ersetzt werden, wenn sich nicht aus dem Gesetz ein anderes ergibt.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 Die schriftliche Form wird durch die notarielle Beurkundung ersetzt.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126a BGB - </w:t>
      </w:r>
      <w:r w:rsidRPr="006B78D4">
        <w:rPr>
          <w:rFonts w:ascii="Book Antiqua" w:eastAsia="Times New Roman" w:hAnsi="Book Antiqua" w:cs="Times New Roman"/>
          <w:b/>
          <w:bCs/>
          <w:kern w:val="36"/>
          <w:sz w:val="24"/>
          <w:szCs w:val="24"/>
          <w:lang w:eastAsia="de-DE"/>
        </w:rPr>
        <w:t>Schriftform</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 Soll die gesetzlich vorgeschriebene schriftliche Form durch die elektronische Form ersetzt werden, so muss der Aussteller der Erklärung dieser seinen Namen hinzufügen und das elektronische Dokument mit einer qualifizierten elektronischen Signatur nach dem Signaturgesetz versehen.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Bei einem Vertrag müssen die Parteien jeweils ein gleichlautendes Dokument in der in Absatz 1 bezeichneten Weise elektronisch signieren.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172 BGB - </w:t>
      </w:r>
      <w:r w:rsidRPr="006B78D4">
        <w:rPr>
          <w:rFonts w:ascii="Book Antiqua" w:eastAsia="Times New Roman" w:hAnsi="Book Antiqua" w:cs="Times New Roman"/>
          <w:b/>
          <w:bCs/>
          <w:kern w:val="36"/>
          <w:sz w:val="24"/>
          <w:szCs w:val="24"/>
          <w:lang w:eastAsia="de-DE"/>
        </w:rPr>
        <w:t>Vollmachtsurkunde</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Der besonderen Mitteilung einer Bevollmächtigung durch den Vollmachtgeber steht es gleich, wenn dieser dem Vertreter eine Vollmachtsurkunde ausgehändigt hat und der Vertreter sie dem Dritten vorlegt.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Die Vertretungsmacht bleibt bestehen, bis die Vollmachtsurkunde dem Vollmachtgeber zurückgegeben oder für kraftlos erklärt wird.</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356 BGB - </w:t>
      </w:r>
      <w:r w:rsidRPr="006B78D4">
        <w:rPr>
          <w:rFonts w:ascii="Book Antiqua" w:eastAsia="Times New Roman" w:hAnsi="Book Antiqua" w:cs="Times New Roman"/>
          <w:b/>
          <w:bCs/>
          <w:kern w:val="36"/>
          <w:sz w:val="24"/>
          <w:szCs w:val="24"/>
          <w:lang w:eastAsia="de-DE"/>
        </w:rPr>
        <w:t>Widerrufsrecht bei außerhalb von Geschäftsräumen geschlossenen Verträgen und Fernabsatzverträgen</w:t>
      </w:r>
    </w:p>
    <w:p w:rsidR="00ED2A01" w:rsidRPr="006B78D4" w:rsidRDefault="00ED2A01" w:rsidP="00ED2A01">
      <w:pPr>
        <w:numPr>
          <w:ilvl w:val="0"/>
          <w:numId w:val="11"/>
        </w:numPr>
        <w:spacing w:after="200" w:line="276" w:lineRule="auto"/>
        <w:contextualSpacing/>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Der Unternehmer kann dem Verbraucher die Möglichkeit einräumen, das Muster-Widerrufsformular nach Anlage 2 zu Artikel </w:t>
      </w:r>
      <w:hyperlink r:id="rId83" w:history="1">
        <w:r w:rsidRPr="006B78D4">
          <w:rPr>
            <w:rFonts w:ascii="Book Antiqua" w:eastAsia="Times New Roman" w:hAnsi="Book Antiqua" w:cs="Times New Roman"/>
            <w:sz w:val="24"/>
            <w:szCs w:val="24"/>
            <w:lang w:eastAsia="de-DE"/>
          </w:rPr>
          <w:t>246a</w:t>
        </w:r>
      </w:hyperlink>
      <w:r w:rsidRPr="006B78D4">
        <w:rPr>
          <w:rFonts w:ascii="Book Antiqua" w:eastAsia="Times New Roman" w:hAnsi="Book Antiqua" w:cs="Times New Roman"/>
          <w:sz w:val="24"/>
          <w:szCs w:val="24"/>
          <w:lang w:eastAsia="de-DE"/>
        </w:rPr>
        <w:t xml:space="preserve"> § 1 Absatz 2 Satz 1 Nummer 1 des Einführungsgesetzes zum Bürgerlichen Gesetzbuche oder eine </w:t>
      </w:r>
      <w:r w:rsidRPr="006B78D4">
        <w:rPr>
          <w:rFonts w:ascii="Book Antiqua" w:eastAsia="Times New Roman" w:hAnsi="Book Antiqua" w:cs="Times New Roman"/>
          <w:sz w:val="24"/>
          <w:szCs w:val="24"/>
          <w:lang w:eastAsia="de-DE"/>
        </w:rPr>
        <w:lastRenderedPageBreak/>
        <w:t>andere eindeutige Widerrufserklärung auf der Webseite des Unternehmers auszufüllen und zu übermitteln. Macht der Verbraucher von dieser Möglichkeit Gebrauch, muss der Unternehmer dem Verbraucher den Zugang des Widerrufs unverzüglich auf einem dauerhaften Datenträger bestätigen.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Die Widerrufsfrist beginnt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450"/>
        <w:gridCol w:w="567"/>
        <w:gridCol w:w="8064"/>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gridSpan w:val="2"/>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einem Verbrauchsgüterkauf,</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195"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a)</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der nicht unter die Buchstaben b bis d fällt, sobald der Verbraucher oder ein von ihm benannter Dritter, der nicht Frachtführer ist, die Waren erhalten hat,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195"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dem der Verbraucher mehrere Waren im Rahmen einer einheitlichen Bestellung bestellt hat und die Waren getrennt geliefert werden, sobald der Verbraucher oder ein von ihm benannter Dritter, der nicht Frachtführer ist, die letzte Ware erhalten hat,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195"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c)</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dem die Ware in mehreren Teilsendungen oder Stücken geliefert wird, sobald der Verbraucher oder ein vom Verbraucher benannter Dritter, der nicht Frachtführer ist, die letzte Teilsendung oder das letzte Stück erhalten hat,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195"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der auf die regelmäßige Lieferung von Waren über einen festgelegten Zeitraum gerichtet ist, sobald der Verbraucher oder ein von ihm benannter Dritter, der nicht Frachtführer ist, die erste Ware erhalten hat,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gridSpan w:val="2"/>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einem Vertrag, der die nicht in einem begrenzten Volumen oder in einer bestimmten Menge angebotene Lieferung von Wasser, Gas oder Strom, die Lieferung von Fernwärme oder die Lieferung von nicht auf einem körperlichen Datenträger befindlichen digitalen Inhalten zum Gegenstand hat, mit Vertragsschluss.</w:t>
            </w:r>
          </w:p>
        </w:tc>
      </w:tr>
    </w:tbl>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 Die Widerrufsfrist beginnt nicht, bevor der Unternehmer den Verbraucher entsprechend den Anforderungen des Artikels </w:t>
      </w:r>
      <w:hyperlink r:id="rId84" w:history="1">
        <w:r w:rsidRPr="006B78D4">
          <w:rPr>
            <w:rFonts w:ascii="Book Antiqua" w:eastAsia="Times New Roman" w:hAnsi="Book Antiqua" w:cs="Times New Roman"/>
            <w:sz w:val="24"/>
            <w:szCs w:val="24"/>
            <w:lang w:eastAsia="de-DE"/>
          </w:rPr>
          <w:t>246a</w:t>
        </w:r>
      </w:hyperlink>
      <w:r w:rsidRPr="006B78D4">
        <w:rPr>
          <w:rFonts w:ascii="Book Antiqua" w:eastAsia="Times New Roman" w:hAnsi="Book Antiqua" w:cs="Times New Roman"/>
          <w:sz w:val="24"/>
          <w:szCs w:val="24"/>
          <w:lang w:eastAsia="de-DE"/>
        </w:rPr>
        <w:t> § 1 Absatz 2 Satz 1 Nummer 1 oder des Artikels </w:t>
      </w:r>
      <w:hyperlink r:id="rId85" w:history="1">
        <w:r w:rsidRPr="006B78D4">
          <w:rPr>
            <w:rFonts w:ascii="Book Antiqua" w:eastAsia="Times New Roman" w:hAnsi="Book Antiqua" w:cs="Times New Roman"/>
            <w:sz w:val="24"/>
            <w:szCs w:val="24"/>
            <w:lang w:eastAsia="de-DE"/>
          </w:rPr>
          <w:t>246b</w:t>
        </w:r>
      </w:hyperlink>
      <w:r w:rsidRPr="006B78D4">
        <w:rPr>
          <w:rFonts w:ascii="Book Antiqua" w:eastAsia="Times New Roman" w:hAnsi="Book Antiqua" w:cs="Times New Roman"/>
          <w:sz w:val="24"/>
          <w:szCs w:val="24"/>
          <w:lang w:eastAsia="de-DE"/>
        </w:rPr>
        <w:t> § 2 Absatz 1 des Einführungsgesetzes zum Bürgerlichen Gesetzbuche unterrichtet hat. Das Widerrufsrecht erlischt spätestens zwölf Monate und 14 Tage nach dem in Absatz 2 oder § </w:t>
      </w:r>
      <w:hyperlink r:id="rId86" w:history="1">
        <w:r w:rsidRPr="006B78D4">
          <w:rPr>
            <w:rFonts w:ascii="Book Antiqua" w:eastAsia="Times New Roman" w:hAnsi="Book Antiqua" w:cs="Times New Roman"/>
            <w:sz w:val="24"/>
            <w:szCs w:val="24"/>
            <w:lang w:eastAsia="de-DE"/>
          </w:rPr>
          <w:t>355</w:t>
        </w:r>
      </w:hyperlink>
      <w:r w:rsidRPr="006B78D4">
        <w:rPr>
          <w:rFonts w:ascii="Book Antiqua" w:eastAsia="Times New Roman" w:hAnsi="Book Antiqua" w:cs="Times New Roman"/>
          <w:sz w:val="24"/>
          <w:szCs w:val="24"/>
          <w:lang w:eastAsia="de-DE"/>
        </w:rPr>
        <w:t>Absatz 2 Satz 2 genannten Zeitpunkt. Satz 2 ist auf Verträge über Finanzdienstleistungen nicht anwendbar.</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(4) Das Widerrufsrecht erlischt bei einem Vertrag zur Erbringung von Dienstleistungen auch dann, wenn der Unternehmer die Dienstleistung vollständig erbracht hat und mit der Ausführung der Dienstleistung erst begonnen hat, nachdem der Verbraucher dazu seine ausdrückliche Zustimmung gegeben hat und gleichzeitig seine Kenntnis davon bestätigt hat, dass er sein Widerrufsrecht bei vollständiger </w:t>
      </w:r>
      <w:r w:rsidRPr="006B78D4">
        <w:rPr>
          <w:rFonts w:ascii="Book Antiqua" w:eastAsia="Times New Roman" w:hAnsi="Book Antiqua" w:cs="Times New Roman"/>
          <w:sz w:val="24"/>
          <w:szCs w:val="24"/>
          <w:lang w:eastAsia="de-DE"/>
        </w:rPr>
        <w:lastRenderedPageBreak/>
        <w:t>Vertragserfüllung durch den Unternehmer verliert. Bei einem außerhalb von Geschäftsräumen geschlossenen Vertrag muss die Zustimmung des Verbrauchers auf einem dauerhaften Datenträger übermittelt werden. Bei einem Vertrag über die Erbringung von Finanzdienstleistungen erlischt das Widerrufsrecht abweichend von Satz 1, wenn der Vertrag von beiden Seiten auf ausdrücklichen Wunsch des Verbrauchers vollständig erfüllt ist, bevor der Verbraucher sein Widerrufsrecht ausübt.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(5) Das Widerrufsrecht erlischt bei einem Vertrag über die Lieferung von nicht auf einem körperlichen Datenträger befindlichen digitalen Inhalten auch dann, wenn der Unternehmer mit der Ausführung des Vertrags begonnen hat, nachdem der Verbraucher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450"/>
        <w:gridCol w:w="8631"/>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ausdrücklich zugestimmt hat, dass der Unternehmer mit der Ausführung des Vertrags vor Ablauf der Widerrufsfrist beginnt, und</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seine Kenntnis davon bestätigt hat, dass er durch seine Zustimmung mit Beginn der Ausführung des Vertrags sein Widerrufsrecht verliert.</w:t>
            </w:r>
          </w:p>
        </w:tc>
      </w:tr>
    </w:tbl>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6 VVG - </w:t>
      </w:r>
      <w:r w:rsidRPr="006B78D4">
        <w:rPr>
          <w:rFonts w:ascii="Book Antiqua" w:eastAsia="Times New Roman" w:hAnsi="Book Antiqua" w:cs="Times New Roman"/>
          <w:b/>
          <w:bCs/>
          <w:kern w:val="36"/>
          <w:sz w:val="24"/>
          <w:szCs w:val="24"/>
          <w:lang w:eastAsia="de-DE"/>
        </w:rPr>
        <w:t>Beratung des Versicherungsnehmers</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Der Versicherer hat den Versicherungsnehmer, soweit nach der Schwierigkeit, die angebotene Versicherung zu beurteilen, oder der Person des Versicherungsnehmers und dessen Situation hierfür Anlass besteht, nach seinen Wünschen und Bedürfnissen zu befragen und, auch unter Berücksichtigung eines angemessenen Verhältnisses zwischen Beratungsaufwand und der vom Versicherungsnehmer zu zahlenden Prämien, zu beraten sowie die Gründe für jeden zu einer bestimmten Versicherung erteilten Rat anzugeben. Er hat dies unter Berücksichtigung der Komplexität des angebotenen Versicherungsvertrags zu dokumentieren.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Der Versicherer hat dem Versicherungsnehmer den erteilten Rat und die Gründe hierfür klar und verständlich vor dem Abschluss des Vertrags in Textform zu übermitteln. Die Angaben dürfen mündlich übermittelt werden, wenn der Versicherungsnehmer dies wünscht oder wenn und soweit der Versicherer vorläufige Deckung gewährt. In diesen Fällen sind die Angaben unverzüglich nach Vertragsschluss dem Versicherungsnehmer in Textform zu übermitteln; dies gilt nicht, wenn ein Vertrag nicht zustande kommt und für Verträge über vorläufige Deckung bei Pflichtversicherungen.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(3) Der Versicherungsnehmer kann auf die Beratung und Dokumentation nach den Absätzen 1 und 2 durch eine gesonderte schriftliche Erklärung verzichten, in der er </w:t>
      </w:r>
      <w:r w:rsidRPr="006B78D4">
        <w:rPr>
          <w:rFonts w:ascii="Book Antiqua" w:eastAsia="Times New Roman" w:hAnsi="Book Antiqua" w:cs="Times New Roman"/>
          <w:sz w:val="24"/>
          <w:szCs w:val="24"/>
          <w:lang w:eastAsia="de-DE"/>
        </w:rPr>
        <w:lastRenderedPageBreak/>
        <w:t>vom Versicherer ausdrücklich darauf hingewiesen wird, dass sich ein Verzicht nachteilig auf seine Möglichkeit auswirken kann, gegen den Versicherer einen Schadensersatzanspruch nach Absatz 5 geltend zu machen.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 Die Verpflichtung nach Absatz 1 Satz 1 besteht auch nach Vertragsschluss während der Dauer des Versicherungsverhältnisses, soweit für den Versicherer ein Anlass für eine Nachfrage und Beratung des Versicherungsnehmers erkennbar ist. Der Versicherungsnehmer kann im Einzelfall auf eine Beratung durch schriftliche Erklärung verzichten.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(5) Verletzt der Versicherer eine Verpflichtung nach Absatz 1, 2 oder 4, ist er dem Versicherungsnehmer zum Ersatz des hierdurch entstehenden Schadens verpflichtet. Dies gilt nicht, wenn der Versicherer die Pflichtverletzung nicht zu vertreten hat.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(6) Die Absätze 1 bis 5 sind auf Versicherungsverträge über ein Großrisiko im Sinn des § </w:t>
      </w:r>
      <w:hyperlink r:id="rId87" w:history="1">
        <w:r w:rsidRPr="006B78D4">
          <w:rPr>
            <w:rFonts w:ascii="Book Antiqua" w:eastAsia="Times New Roman" w:hAnsi="Book Antiqua" w:cs="Times New Roman"/>
            <w:sz w:val="24"/>
            <w:szCs w:val="24"/>
            <w:lang w:eastAsia="de-DE"/>
          </w:rPr>
          <w:t>210</w:t>
        </w:r>
      </w:hyperlink>
      <w:r w:rsidRPr="006B78D4">
        <w:rPr>
          <w:rFonts w:ascii="Book Antiqua" w:eastAsia="Times New Roman" w:hAnsi="Book Antiqua" w:cs="Times New Roman"/>
          <w:sz w:val="24"/>
          <w:szCs w:val="24"/>
          <w:lang w:eastAsia="de-DE"/>
        </w:rPr>
        <w:t>Absatz 2 nicht anzuwenden, ferner dann nicht, wenn der Vertrag mit dem Versicherungsnehmer von einem Versicherungsmakler vermittelt wird oder wenn es sich um einen Vertrag im Fernabsatz im Sinn des § </w:t>
      </w:r>
      <w:hyperlink r:id="rId88" w:history="1">
        <w:r w:rsidRPr="006B78D4">
          <w:rPr>
            <w:rFonts w:ascii="Book Antiqua" w:eastAsia="Times New Roman" w:hAnsi="Book Antiqua" w:cs="Times New Roman"/>
            <w:sz w:val="24"/>
            <w:szCs w:val="24"/>
            <w:lang w:eastAsia="de-DE"/>
          </w:rPr>
          <w:t>312c</w:t>
        </w:r>
      </w:hyperlink>
      <w:r w:rsidRPr="006B78D4">
        <w:rPr>
          <w:rFonts w:ascii="Book Antiqua" w:eastAsia="Times New Roman" w:hAnsi="Book Antiqua" w:cs="Times New Roman"/>
          <w:sz w:val="24"/>
          <w:szCs w:val="24"/>
          <w:lang w:eastAsia="de-DE"/>
        </w:rPr>
        <w:t> des Bürgerlichen Gesetzbuchs handelt.</w:t>
      </w:r>
    </w:p>
    <w:p w:rsidR="00ED2A01" w:rsidRPr="006B78D4" w:rsidRDefault="00ED2A01" w:rsidP="00ED2A01">
      <w:pPr>
        <w:spacing w:after="200" w:line="276" w:lineRule="auto"/>
        <w:jc w:val="center"/>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60 VVG - </w:t>
      </w:r>
      <w:r w:rsidRPr="006B78D4">
        <w:rPr>
          <w:rFonts w:ascii="Book Antiqua" w:eastAsia="Times New Roman" w:hAnsi="Book Antiqua" w:cs="Times New Roman"/>
          <w:b/>
          <w:bCs/>
          <w:kern w:val="36"/>
          <w:sz w:val="24"/>
          <w:szCs w:val="24"/>
          <w:lang w:eastAsia="de-DE"/>
        </w:rPr>
        <w:t>Beratungsgrundlage des Versicherungsvermittlers</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Der Versicherungsmakler ist verpflichtet, seinem Rat eine hinreichende Zahl von auf dem Markt angebotenen Versicherungsverträgen und von Versicherern zu Grunde zu legen, so dass er nach fachlichen Kriterien eine Empfehlung dahin abgeben kann, welcher Versicherungsvertrag geeignet ist, die Bedürfnisse des Versicherungsnehmers zu erfüllen. Dies gilt nicht, soweit er im Einzelfall vor Abgabe der Vertragserklärung des Versicherungsnehmers diesen ausdrücklich auf eine eingeschränkte Versicherer- und Vertragsauswahl hinweist.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Der Versicherungsmakler, der nach Absatz 1 Satz 2 auf eine eingeschränkte Auswahl hinweist, und der Versicherungsvertreter haben dem Versicherungsnehmer mitzuteilen, auf welcher Markt- und Informationsgrundlage sie ihre Leistung erbringen, und die Namen der ihrem Rat zu Grunde gelegten Versicherer anzugeben. Der Versicherungsvertreter hat außerdem mitzuteilen, für welche Versicherer er seine Tätigkeit ausübt und ob er für diese ausschließlich tätig ist.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 Der Versicherungsnehmer kann auf die Mitteilungen und Angaben nach Absatz 2 durch eine gesonderte schriftliche Erklärung verzichten.</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61 VVG </w:t>
      </w:r>
      <w:r w:rsidRPr="006B78D4">
        <w:rPr>
          <w:rFonts w:ascii="Book Antiqua" w:eastAsia="Times New Roman" w:hAnsi="Book Antiqua" w:cs="Times New Roman"/>
          <w:b/>
          <w:bCs/>
          <w:kern w:val="36"/>
          <w:sz w:val="24"/>
          <w:szCs w:val="24"/>
          <w:lang w:eastAsia="de-DE"/>
        </w:rPr>
        <w:t>Beratungs- und Dokumentationspflichten des Versicherungsvermittlers</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Der Versicherungsvermittler hat den Versicherungsnehmer, soweit nach der Schwierigkeit, die angebotene Versicherung zu beurteilen, oder der Person des Versicherungsnehmers und dessen Situation hierfür Anlass besteht, nach seinen Wünschen und Bedürfnissen zu befragen und, auch unter Berücksichtigung eines angemessenen Verhältnisses zwischen Beratungsaufwand und der vom Versicherungsnehmer zu zahlenden Prämien, zu beraten sowie die Gründe für jeden zu einer bestimmten Versicherung erteilten Rat anzugeben. Er hat dies unter Berücksichtigung der Komplexität des angebotenen Versicherungsvertrags nach § </w:t>
      </w:r>
      <w:hyperlink r:id="rId89" w:history="1">
        <w:r w:rsidRPr="006B78D4">
          <w:rPr>
            <w:rFonts w:ascii="Book Antiqua" w:eastAsia="Times New Roman" w:hAnsi="Book Antiqua" w:cs="Times New Roman"/>
            <w:sz w:val="24"/>
            <w:szCs w:val="24"/>
            <w:lang w:eastAsia="de-DE"/>
          </w:rPr>
          <w:t>62</w:t>
        </w:r>
      </w:hyperlink>
      <w:r w:rsidRPr="006B78D4">
        <w:rPr>
          <w:rFonts w:ascii="Book Antiqua" w:eastAsia="Times New Roman" w:hAnsi="Book Antiqua" w:cs="Times New Roman"/>
          <w:sz w:val="24"/>
          <w:szCs w:val="24"/>
          <w:lang w:eastAsia="de-DE"/>
        </w:rPr>
        <w:t> zu dokumentieren.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Der Versicherungsnehmer kann auf die Beratung oder die Dokumentation nach Absatz 1 durch eine gesonderte schriftliche Erklärung verzichten, in der er vom Versicherungsvermittler ausdrücklich darauf hingewiesen wird, dass sich ein Verzicht nachteilig auf die Möglichkeit des Versicherungsnehmers auswirken kann, gegen den Versicherungsvermittler einen Schadensersatzanspruch nach § </w:t>
      </w:r>
      <w:hyperlink r:id="rId90" w:history="1">
        <w:r w:rsidRPr="006B78D4">
          <w:rPr>
            <w:rFonts w:ascii="Book Antiqua" w:eastAsia="Times New Roman" w:hAnsi="Book Antiqua" w:cs="Times New Roman"/>
            <w:sz w:val="24"/>
            <w:szCs w:val="24"/>
            <w:lang w:eastAsia="de-DE"/>
          </w:rPr>
          <w:t>63</w:t>
        </w:r>
      </w:hyperlink>
      <w:r w:rsidRPr="006B78D4">
        <w:rPr>
          <w:rFonts w:ascii="Book Antiqua" w:eastAsia="Times New Roman" w:hAnsi="Book Antiqua" w:cs="Times New Roman"/>
          <w:sz w:val="24"/>
          <w:szCs w:val="24"/>
          <w:lang w:eastAsia="de-DE"/>
        </w:rPr>
        <w:t> geltend zu machen.</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62 VVG - </w:t>
      </w:r>
      <w:r w:rsidRPr="006B78D4">
        <w:rPr>
          <w:rFonts w:ascii="Book Antiqua" w:eastAsia="Times New Roman" w:hAnsi="Book Antiqua" w:cs="Times New Roman"/>
          <w:b/>
          <w:bCs/>
          <w:kern w:val="36"/>
          <w:sz w:val="24"/>
          <w:szCs w:val="24"/>
          <w:lang w:eastAsia="de-DE"/>
        </w:rPr>
        <w:t>Zeitpunkt und Form der Information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Dem Versicherungsnehmer sind die Informationen nach § </w:t>
      </w:r>
      <w:hyperlink r:id="rId91" w:history="1">
        <w:r w:rsidRPr="006B78D4">
          <w:rPr>
            <w:rFonts w:ascii="Book Antiqua" w:eastAsia="Times New Roman" w:hAnsi="Book Antiqua" w:cs="Times New Roman"/>
            <w:sz w:val="24"/>
            <w:szCs w:val="24"/>
            <w:lang w:eastAsia="de-DE"/>
          </w:rPr>
          <w:t>60</w:t>
        </w:r>
      </w:hyperlink>
      <w:r w:rsidRPr="006B78D4">
        <w:rPr>
          <w:rFonts w:ascii="Book Antiqua" w:eastAsia="Times New Roman" w:hAnsi="Book Antiqua" w:cs="Times New Roman"/>
          <w:sz w:val="24"/>
          <w:szCs w:val="24"/>
          <w:lang w:eastAsia="de-DE"/>
        </w:rPr>
        <w:t> Abs. 2 vor Abgabe seiner Vertragserklärung, die Informationen nach § </w:t>
      </w:r>
      <w:hyperlink r:id="rId92" w:history="1">
        <w:r w:rsidRPr="006B78D4">
          <w:rPr>
            <w:rFonts w:ascii="Book Antiqua" w:eastAsia="Times New Roman" w:hAnsi="Book Antiqua" w:cs="Times New Roman"/>
            <w:sz w:val="24"/>
            <w:szCs w:val="24"/>
            <w:lang w:eastAsia="de-DE"/>
          </w:rPr>
          <w:t>61</w:t>
        </w:r>
      </w:hyperlink>
      <w:r w:rsidRPr="006B78D4">
        <w:rPr>
          <w:rFonts w:ascii="Book Antiqua" w:eastAsia="Times New Roman" w:hAnsi="Book Antiqua" w:cs="Times New Roman"/>
          <w:sz w:val="24"/>
          <w:szCs w:val="24"/>
          <w:lang w:eastAsia="de-DE"/>
        </w:rPr>
        <w:t> Abs. 1 vor dem Abschluss des Vertrags klar und verständlich in Textform zu übermitteln.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Die Informationen nach Absatz 1 dürfen mündlich übermittelt werden, wenn der Versicherungsnehmer dies wünscht oder wenn und soweit der Versicherer vorläufige Deckung gewährt. In diesen Fällen sind die Informationen unverzüglich nach Vertragsschluss, spätestens mit dem Versicherungsschein dem Versicherungsnehmer in Textform zu übermitteln; dies gilt nicht für Verträge über vorläufige Deckung bei Pflichtversicherungen</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63 VVG - </w:t>
      </w:r>
      <w:r w:rsidRPr="006B78D4">
        <w:rPr>
          <w:rFonts w:ascii="Book Antiqua" w:eastAsia="Times New Roman" w:hAnsi="Book Antiqua" w:cs="Times New Roman"/>
          <w:b/>
          <w:bCs/>
          <w:kern w:val="36"/>
          <w:sz w:val="24"/>
          <w:szCs w:val="24"/>
          <w:lang w:eastAsia="de-DE"/>
        </w:rPr>
        <w:t>Schadensersatzpflicht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Der Versicherungsvermittler ist zum Ersatz des Schadens verpflichtet, der dem Versicherungsnehmer durch die Verletzung einer Pflicht nach § </w:t>
      </w:r>
      <w:hyperlink r:id="rId93" w:history="1">
        <w:r w:rsidRPr="006B78D4">
          <w:rPr>
            <w:rFonts w:ascii="Book Antiqua" w:eastAsia="Times New Roman" w:hAnsi="Book Antiqua" w:cs="Times New Roman"/>
            <w:sz w:val="24"/>
            <w:szCs w:val="24"/>
            <w:lang w:eastAsia="de-DE"/>
          </w:rPr>
          <w:t>60</w:t>
        </w:r>
      </w:hyperlink>
      <w:r w:rsidRPr="006B78D4">
        <w:rPr>
          <w:rFonts w:ascii="Book Antiqua" w:eastAsia="Times New Roman" w:hAnsi="Book Antiqua" w:cs="Times New Roman"/>
          <w:sz w:val="24"/>
          <w:szCs w:val="24"/>
          <w:lang w:eastAsia="de-DE"/>
        </w:rPr>
        <w:t> oder § </w:t>
      </w:r>
      <w:hyperlink r:id="rId94" w:history="1">
        <w:r w:rsidRPr="006B78D4">
          <w:rPr>
            <w:rFonts w:ascii="Book Antiqua" w:eastAsia="Times New Roman" w:hAnsi="Book Antiqua" w:cs="Times New Roman"/>
            <w:sz w:val="24"/>
            <w:szCs w:val="24"/>
            <w:lang w:eastAsia="de-DE"/>
          </w:rPr>
          <w:t>61</w:t>
        </w:r>
      </w:hyperlink>
      <w:r w:rsidRPr="006B78D4">
        <w:rPr>
          <w:rFonts w:ascii="Book Antiqua" w:eastAsia="Times New Roman" w:hAnsi="Book Antiqua" w:cs="Times New Roman"/>
          <w:sz w:val="24"/>
          <w:szCs w:val="24"/>
          <w:lang w:eastAsia="de-DE"/>
        </w:rPr>
        <w:t> entsteht. Dies gilt nicht, wenn der Versicherungsvermittler die Pflichtverletzung nicht zu vertreten hat</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lastRenderedPageBreak/>
        <w:t xml:space="preserve">§ 7 UWG - </w:t>
      </w:r>
      <w:r w:rsidRPr="006B78D4">
        <w:rPr>
          <w:rFonts w:ascii="Book Antiqua" w:eastAsia="Times New Roman" w:hAnsi="Book Antiqua" w:cs="Times New Roman"/>
          <w:b/>
          <w:bCs/>
          <w:kern w:val="36"/>
          <w:sz w:val="24"/>
          <w:szCs w:val="24"/>
          <w:lang w:eastAsia="de-DE"/>
        </w:rPr>
        <w:t>Unzumutbare Belästigungen</w:t>
      </w:r>
    </w:p>
    <w:p w:rsidR="00ED2A01" w:rsidRPr="006B78D4" w:rsidRDefault="00ED2A01" w:rsidP="00ED2A01">
      <w:pPr>
        <w:numPr>
          <w:ilvl w:val="0"/>
          <w:numId w:val="12"/>
        </w:numPr>
        <w:shd w:val="clear" w:color="auto" w:fill="FFFFFF"/>
        <w:spacing w:after="0" w:line="16" w:lineRule="atLeast"/>
        <w:contextualSpacing/>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Eine geschäftliche Handlung, durch die ein Marktteilnehmer in unzumutbarer Weise belästigt wird, ist unzulässig. Dies gilt insbesondere für Werbung, obwohl erkennbar ist, dass der angesprochene Marktteilnehmer diese Werbung nicht wünscht.</w:t>
      </w:r>
    </w:p>
    <w:p w:rsidR="00ED2A01" w:rsidRPr="006B78D4" w:rsidRDefault="00ED2A01" w:rsidP="00ED2A01">
      <w:pPr>
        <w:shd w:val="clear" w:color="auto" w:fill="FFFFFF"/>
        <w:spacing w:after="0" w:line="16" w:lineRule="atLeast"/>
        <w:rPr>
          <w:rFonts w:ascii="Book Antiqua" w:eastAsia="Times New Roman" w:hAnsi="Book Antiqua" w:cs="Times New Roman"/>
          <w:sz w:val="24"/>
          <w:szCs w:val="24"/>
          <w:lang w:eastAsia="de-DE"/>
        </w:rPr>
      </w:pPr>
    </w:p>
    <w:p w:rsidR="00ED2A01" w:rsidRPr="006B78D4" w:rsidRDefault="00ED2A01" w:rsidP="00ED2A01">
      <w:pPr>
        <w:shd w:val="clear" w:color="auto" w:fill="FFFFFF"/>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Eine unzumutbare Belästigung ist stets anzunehmen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450"/>
        <w:gridCol w:w="547"/>
        <w:gridCol w:w="8084"/>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gridSpan w:val="2"/>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Werbung unter Verwendung eines in den Nummern 2 und 3 nicht aufgeführten, für den Fernabsatz geeigneten Mittels der kommerziellen Kommunikation, durch die ein Verbraucher hartnäckig angesprochen wird, obwohl er dies erkennbar nicht wünscht;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gridSpan w:val="2"/>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Werbung mit einem Telefonanruf gegenüber einem Verbraucher ohne dessen vorherige ausdrückliche Einwilligung oder gegenüber einem sonstigen Marktteilnehmer ohne dessen zumindest mutmaßliche Einwilligung,</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w:t>
            </w:r>
          </w:p>
        </w:tc>
        <w:tc>
          <w:tcPr>
            <w:tcW w:w="0" w:type="auto"/>
            <w:gridSpan w:val="2"/>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Werbung unter Verwendung einer automatischen Anrufmaschine, eines Faxgerätes oder elektronischer Post, ohne dass eine vorherige ausdrückliche Einwilligung des Adressaten vorliegt, oder</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w:t>
            </w:r>
          </w:p>
        </w:tc>
        <w:tc>
          <w:tcPr>
            <w:tcW w:w="0" w:type="auto"/>
            <w:gridSpan w:val="2"/>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Werbung mit einer Nachricht,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195"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a)</w:t>
            </w: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der die Identität des Absenders, in dessen Auftrag die Nachricht übermittelt wird, verschleiert oder verheimlicht wird oder</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195"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w:t>
            </w: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der gegen § </w:t>
            </w:r>
            <w:hyperlink r:id="rId95" w:history="1">
              <w:r w:rsidRPr="006B78D4">
                <w:rPr>
                  <w:rFonts w:ascii="Book Antiqua" w:eastAsia="Times New Roman" w:hAnsi="Book Antiqua" w:cs="Times New Roman"/>
                  <w:sz w:val="24"/>
                  <w:szCs w:val="24"/>
                  <w:lang w:eastAsia="de-DE"/>
                </w:rPr>
                <w:t>6</w:t>
              </w:r>
            </w:hyperlink>
            <w:r w:rsidRPr="006B78D4">
              <w:rPr>
                <w:rFonts w:ascii="Book Antiqua" w:eastAsia="Times New Roman" w:hAnsi="Book Antiqua" w:cs="Times New Roman"/>
                <w:sz w:val="24"/>
                <w:szCs w:val="24"/>
                <w:lang w:eastAsia="de-DE"/>
              </w:rPr>
              <w:t> Absatz 1 des Telemediengesetzes verstoßen wird oder in der der Empfänger aufgefordert wird, eine Website aufzurufen, die gegen diese Vorschrift verstößt, oder</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195"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c)</w:t>
            </w: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bei der keine gültige Adresse vorhanden ist, an die der Empfänger eine Aufforderung zur Einstellung solcher Nachrichten richten kann, ohne dass hierfür andere als die Übermittlungskosten nach den Basistarifen entstehen.</w:t>
            </w:r>
          </w:p>
          <w:p w:rsidR="00ED2A01" w:rsidRPr="006B78D4" w:rsidRDefault="00ED2A01" w:rsidP="00ED2A01">
            <w:pPr>
              <w:spacing w:after="0" w:line="16" w:lineRule="atLeast"/>
              <w:rPr>
                <w:rFonts w:ascii="Book Antiqua" w:eastAsia="Times New Roman" w:hAnsi="Book Antiqua" w:cs="Times New Roman"/>
                <w:sz w:val="24"/>
                <w:szCs w:val="24"/>
                <w:lang w:eastAsia="de-DE"/>
              </w:rPr>
            </w:pPr>
          </w:p>
        </w:tc>
      </w:tr>
    </w:tbl>
    <w:p w:rsidR="00ED2A01" w:rsidRPr="006B78D4" w:rsidRDefault="00ED2A01" w:rsidP="00ED2A01">
      <w:pPr>
        <w:shd w:val="clear" w:color="auto" w:fill="FFFFFF"/>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 Abweichend von Absatz 2 Nr. 3 ist eine unzumutbare Belästigung bei einer Werbung unter Verwendung elektronischer Post nicht anzunehmen, wenn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450"/>
        <w:gridCol w:w="8631"/>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ein Unternehmer im Zusammenhang mit dem Verkauf einer Ware oder Dienstleistung von dem Kunden dessen elektronische Postadresse erhalten hat,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der Unternehmer die Adresse zur Direktwerbung für eigene ähnliche Waren oder Dienstleistungen verwendet,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w:t>
            </w: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der Kunde der Verwendung nicht widersprochen hat und</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w:t>
            </w:r>
          </w:p>
        </w:tc>
        <w:tc>
          <w:tcPr>
            <w:tcW w:w="0" w:type="auto"/>
            <w:tcMar>
              <w:top w:w="96" w:type="dxa"/>
              <w:left w:w="144" w:type="dxa"/>
              <w:bottom w:w="96" w:type="dxa"/>
              <w:right w:w="96" w:type="dxa"/>
            </w:tcMar>
            <w:hideMark/>
          </w:tcPr>
          <w:p w:rsidR="00ED2A01" w:rsidRPr="006B78D4" w:rsidRDefault="00ED2A01" w:rsidP="00ED2A01">
            <w:pPr>
              <w:spacing w:after="0" w:line="16" w:lineRule="atLeast"/>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der Kunde bei Erhebung der Adresse und bei jeder Verwendung klar und deutlich darauf hingewiesen wird, dass er der Verwendung jederzeit widersprechen kann, ohne </w:t>
            </w:r>
            <w:proofErr w:type="gramStart"/>
            <w:r w:rsidRPr="006B78D4">
              <w:rPr>
                <w:rFonts w:ascii="Book Antiqua" w:eastAsia="Times New Roman" w:hAnsi="Book Antiqua" w:cs="Times New Roman"/>
                <w:sz w:val="24"/>
                <w:szCs w:val="24"/>
                <w:lang w:eastAsia="de-DE"/>
              </w:rPr>
              <w:t>dass</w:t>
            </w:r>
            <w:proofErr w:type="gramEnd"/>
            <w:r w:rsidRPr="006B78D4">
              <w:rPr>
                <w:rFonts w:ascii="Book Antiqua" w:eastAsia="Times New Roman" w:hAnsi="Book Antiqua" w:cs="Times New Roman"/>
                <w:sz w:val="24"/>
                <w:szCs w:val="24"/>
                <w:lang w:eastAsia="de-DE"/>
              </w:rPr>
              <w:t xml:space="preserve"> hierfür andere als die Übermittlungskosten nach den Basistarifen entstehen.</w:t>
            </w:r>
          </w:p>
        </w:tc>
      </w:tr>
    </w:tbl>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12 UWG - </w:t>
      </w:r>
      <w:r w:rsidRPr="006B78D4">
        <w:rPr>
          <w:rFonts w:ascii="Book Antiqua" w:eastAsia="Times New Roman" w:hAnsi="Book Antiqua" w:cs="Times New Roman"/>
          <w:b/>
          <w:bCs/>
          <w:kern w:val="36"/>
          <w:sz w:val="24"/>
          <w:szCs w:val="24"/>
          <w:lang w:eastAsia="de-DE"/>
        </w:rPr>
        <w:t>Anspruchsdurchsetzung, Veröffentlichungsbefugnis, Streitwertminderung</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Die zur Geltendmachung eines Unterlassungsanspruchs Berechtigten sollen den Schuldner vor der Einleitung eines gerichtlichen Verfahrens abmahnen und ihm Gelegenheit geben, den Streit durch Abgabe einer mit einer angemessenen Vertragsstrafe bewehrten Unterlassungsverpflichtung beizulegen. Soweit die Abmahnung berechtigt ist, kann der Ersatz der erforderlichen Aufwendungen verlangt werden.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Zur Sicherung der in diesem Gesetz bezeichneten Ansprüche auf Unterlassung können einstweilige Verfügungen auch ohne die Darlegung und Glaubhaftmachung der in den §§ </w:t>
      </w:r>
      <w:hyperlink r:id="rId96" w:history="1">
        <w:r w:rsidRPr="006B78D4">
          <w:rPr>
            <w:rFonts w:ascii="Book Antiqua" w:eastAsia="Times New Roman" w:hAnsi="Book Antiqua" w:cs="Times New Roman"/>
            <w:sz w:val="24"/>
            <w:szCs w:val="24"/>
            <w:lang w:eastAsia="de-DE"/>
          </w:rPr>
          <w:t>935</w:t>
        </w:r>
      </w:hyperlink>
      <w:r w:rsidRPr="006B78D4">
        <w:rPr>
          <w:rFonts w:ascii="Book Antiqua" w:eastAsia="Times New Roman" w:hAnsi="Book Antiqua" w:cs="Times New Roman"/>
          <w:sz w:val="24"/>
          <w:szCs w:val="24"/>
          <w:lang w:eastAsia="de-DE"/>
        </w:rPr>
        <w:t> und </w:t>
      </w:r>
      <w:hyperlink r:id="rId97" w:history="1">
        <w:r w:rsidRPr="006B78D4">
          <w:rPr>
            <w:rFonts w:ascii="Book Antiqua" w:eastAsia="Times New Roman" w:hAnsi="Book Antiqua" w:cs="Times New Roman"/>
            <w:sz w:val="24"/>
            <w:szCs w:val="24"/>
            <w:lang w:eastAsia="de-DE"/>
          </w:rPr>
          <w:t>940</w:t>
        </w:r>
      </w:hyperlink>
      <w:r w:rsidRPr="006B78D4">
        <w:rPr>
          <w:rFonts w:ascii="Book Antiqua" w:eastAsia="Times New Roman" w:hAnsi="Book Antiqua" w:cs="Times New Roman"/>
          <w:sz w:val="24"/>
          <w:szCs w:val="24"/>
          <w:lang w:eastAsia="de-DE"/>
        </w:rPr>
        <w:t> der Zivilprozessordnung bezeichneten Voraussetzungen erlassen werden.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 Ist auf Grund dieses Gesetzes Klage auf Unterlassung erhoben worden, so kann das Gericht der obsiegenden Partei die Befugnis zusprechen, das Urteil auf Kosten der unterliegenden Partei öffentlich bekannt zu machen, wenn sie ein berechtigtes Interesse dartut. Art und Umfang der Bekanntmachung werden im Urteil bestimmt. Die Befugnis erlischt, wenn von ihr nicht innerhalb von drei Monaten nach Eintritt der Rechtskraft Gebrauch gemacht worden ist. Der Ausspruch nach Satz 1 ist nicht vorläufig vollstreckbar.</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 Macht eine Partei in Rechtsstreitigkeiten, in denen durch Klage ein Anspruch aus einem der in diesem Gesetz geregelten Rechtsverhältnisse geltend gemacht wird, glaubhaft, dass die Belastung mit den Prozesskosten nach dem vollen Streitwert ihre wirtschaftliche Lage erheblich gefährden würde, so kann das Gericht auf ihren Antrag anordnen, dass die Verpflichtung dieser Partei zur Zahlung von Gerichtskosten sich nach einem ihrer Wirtschaftslage angepassten Teil des Streitwerts bemisst. Die Anordnung hat zur Folge, dass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450"/>
        <w:gridCol w:w="8631"/>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begünstigte Partei die Gebühren ihres Rechtsanwalts ebenfalls nur nach diesem Teil des Streitwerts zu entrichten hat,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die begünstigte Partei, soweit ihr Kosten des Rechtsstreits auferlegt werden </w:t>
            </w:r>
            <w:r w:rsidRPr="006B78D4">
              <w:rPr>
                <w:rFonts w:ascii="Book Antiqua" w:eastAsia="Times New Roman" w:hAnsi="Book Antiqua" w:cs="Times New Roman"/>
                <w:sz w:val="24"/>
                <w:szCs w:val="24"/>
                <w:lang w:eastAsia="de-DE"/>
              </w:rPr>
              <w:lastRenderedPageBreak/>
              <w:t>oder soweit sie diese übernimmt, die von dem Gegner entrichteten Gerichtsgebühren und die Gebühren seines Rechtsanwalts nur nach dem Teil des Streitwerts zu erstatten hat und</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der Rechtsanwalt der begünstigten Partei, soweit die außergerichtlichen Kosten dem Gegner auferlegt oder von ihm übernommen werden, seine Gebühren von dem Gegner nach dem für diesen geltenden Streitwert beitreiben kann.</w:t>
            </w:r>
          </w:p>
        </w:tc>
      </w:tr>
    </w:tbl>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(5) Der Antrag nach Absatz 4 kann vor der Geschäftsstelle des Gerichts zur Niederschrift erklärt werden. Er ist vor der Verhandlung zur Hauptsache anzubringen. Danach ist er nur zulässig, wenn der angenommene oder festgesetzte Streitwert später durch das Gericht heraufgesetzt wird. Vor der Entscheidung über den Antrag ist der Gegner zu hören.</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2 UWG -  </w:t>
      </w:r>
      <w:r w:rsidRPr="006B78D4">
        <w:rPr>
          <w:rFonts w:ascii="Book Antiqua" w:eastAsia="Times New Roman" w:hAnsi="Book Antiqua" w:cs="Times New Roman"/>
          <w:b/>
          <w:bCs/>
          <w:kern w:val="36"/>
          <w:sz w:val="24"/>
          <w:szCs w:val="24"/>
          <w:lang w:eastAsia="de-DE"/>
        </w:rPr>
        <w:t>Definitionen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Im Sinne dieses Gesetzes bedeutet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450"/>
        <w:gridCol w:w="8631"/>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"geschäftliche Handlung" jedes Verhalten einer Person zugunsten des eigenen oder eines fremden Unternehmens vor, bei oder nach einem Geschäftsabschluss, das mit der Förderung des Absatzes oder des Bezugs von Waren oder Dienstleistungen oder mit dem Abschluss oder der Durchführung eines Vertrags über Waren oder Dienstleistungen objektiv zusammenhängt; als Waren gelten auch Grundstücke, als Dienstleistungen auch Rechte und Verpflichtungen;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"Marktteilnehmer" neben Mitbewerbern und Verbrauchern alle Personen, die als Anbieter oder Nachfrager von Waren oder Dienstleistungen tätig sind;</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"Mitbewerber" jeder Unternehmer, der mit einem oder mehreren Unternehmern als Anbieter oder Nachfrager von Waren oder Dienstleistungen in einem konkreten Wettbewerbsverhältnis steht;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"Nachricht" jede Information, die zwischen einer endlichen Zahl von Beteiligten über einen öffentlich zugänglichen elektronischen Kommunikationsdienst ausgetauscht oder weitergeleitet wird; dies schließt nicht Informationen ein, die als Teil eines Rundfunkdienstes über ein elektronisches Kommunikationsnetz an die Öffentlichkeit weitergeleitet werden, soweit die Informationen nicht mit dem identifizierbaren Teilnehmer </w:t>
            </w:r>
            <w:r w:rsidRPr="006B78D4">
              <w:rPr>
                <w:rFonts w:ascii="Book Antiqua" w:eastAsia="Times New Roman" w:hAnsi="Book Antiqua" w:cs="Times New Roman"/>
                <w:sz w:val="24"/>
                <w:szCs w:val="24"/>
                <w:lang w:eastAsia="de-DE"/>
              </w:rPr>
              <w:lastRenderedPageBreak/>
              <w:t>oder Nutzer, der sie erhält, in Verbindung gebracht werden können;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5.</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"Verhaltenskodex" Vereinbarungen oder Vorschriften über das Verhalten von Unternehmern, zu welchem diese sich in Bezug auf Wirtschaftszweige oder einzelne geschäftliche Handlungen verpflichtet haben, ohne dass sich solche Verpflichtungen aus Gesetzes- oder Verwaltungsvorschriften ergeben;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6.</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"Unternehmer" jede natürliche oder juristische Person, die geschäftliche Handlungen im Rahmen ihrer gewerblichen, handwerklichen oder beruflichen Tätigkeit vornimmt, und jede Person, die im Namen oder Auftrag einer solchen Person handelt;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7.</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"unternehmerische Sorgfalt" der Standard an Fachkenntnissen und Sorgfalt, von dem billigerweise angenommen werden kann, dass ein Unternehmer ihn in seinem Tätigkeitsbereich gegenüber Verbrauchern nach Treu und Glauben unter Berücksichtigung der anständigen Marktgepflogenheiten einhält;</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8.</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"wesentliche Beeinflussung des wirtschaftlichen Verhaltens des Verbrauchers" die Vornahme einer geschäftlichen Handlung, um die Fähigkeit des Verbrauchers, eine informierte Entscheidung zu treffen, spürbar zu beeinträchtigen und damit den Verbraucher zu einer geschäftlichen Entscheidung zu veranlassen, die er andernfalls nicht getroffen hätte;</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9.</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"geschäftliche Entscheidung" jede Entscheidung eines Verbrauchers oder sonstigen Marktteilnehmers darüber, ob, wie und unter welchen Bedingungen er ein Geschäft abschließen, eine Zahlung leisten, eine Ware oder Dienstleistung behalten oder abgeben oder ein vertragliches Recht im Zusammenhang mit einer Ware oder Dienstleistung ausüben will, unabhängig davon, ob der Verbraucher oder sonstige Marktteilnehmer sich entschließt, tätig zu werden.</w:t>
            </w:r>
          </w:p>
        </w:tc>
      </w:tr>
    </w:tbl>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Für den Verbraucherbegriff gilt § </w:t>
      </w:r>
      <w:hyperlink r:id="rId98" w:history="1">
        <w:r w:rsidRPr="006B78D4">
          <w:rPr>
            <w:rFonts w:ascii="Book Antiqua" w:eastAsia="Times New Roman" w:hAnsi="Book Antiqua" w:cs="Times New Roman"/>
            <w:sz w:val="24"/>
            <w:szCs w:val="24"/>
            <w:lang w:eastAsia="de-DE"/>
          </w:rPr>
          <w:t>13</w:t>
        </w:r>
      </w:hyperlink>
      <w:r w:rsidRPr="006B78D4">
        <w:rPr>
          <w:rFonts w:ascii="Book Antiqua" w:eastAsia="Times New Roman" w:hAnsi="Book Antiqua" w:cs="Times New Roman"/>
          <w:sz w:val="24"/>
          <w:szCs w:val="24"/>
          <w:lang w:eastAsia="de-DE"/>
        </w:rPr>
        <w:t> des Bürgerlichen Gesetzbuchs entsprechend.</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hd w:val="clear" w:color="auto" w:fill="FFFFFF"/>
        <w:spacing w:before="375" w:after="200" w:line="312" w:lineRule="atLeast"/>
        <w:outlineLvl w:val="0"/>
        <w:rPr>
          <w:rFonts w:ascii="Book Antiqua" w:eastAsia="Times New Roman" w:hAnsi="Book Antiqua" w:cs="Times New Roman"/>
          <w:b/>
          <w:bCs/>
          <w:kern w:val="36"/>
          <w:sz w:val="24"/>
          <w:szCs w:val="24"/>
          <w:lang w:eastAsia="de-DE"/>
        </w:rPr>
      </w:pPr>
      <w:r w:rsidRPr="006B78D4">
        <w:rPr>
          <w:rFonts w:ascii="Book Antiqua" w:hAnsi="Book Antiqua"/>
          <w:b/>
          <w:sz w:val="24"/>
          <w:szCs w:val="24"/>
        </w:rPr>
        <w:t xml:space="preserve">§ 97 UrhG - </w:t>
      </w:r>
      <w:r w:rsidRPr="006B78D4">
        <w:rPr>
          <w:rFonts w:ascii="Book Antiqua" w:eastAsia="Times New Roman" w:hAnsi="Book Antiqua" w:cs="Times New Roman"/>
          <w:b/>
          <w:bCs/>
          <w:kern w:val="36"/>
          <w:sz w:val="24"/>
          <w:szCs w:val="24"/>
          <w:lang w:eastAsia="de-DE"/>
        </w:rPr>
        <w:t>Anspruch auf Unterlassung und Schadensersatz</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Wer das Urheberrecht oder ein anderes nach diesem Gesetz geschütztes Recht widerrechtlich verletzt, kann von dem Verletzten auf Beseitigung der Beeinträchtigung, bei Wiederholungsgefahr auf Unterlassung in Anspruch genommen werden. Der Anspruch auf Unterlassung besteht auch dann, wenn eine Zuwiderhandlung erstmalig droht.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lastRenderedPageBreak/>
        <w:t xml:space="preserve">(2) Wer die Handlung vorsätzlich oder fahrlässig vornimmt, ist dem Verletzten zum Ersatz des daraus entstehenden Schadens verpflichtet. Bei der Bemessung des Schadensersatzes kann auch der Gewinn, den der </w:t>
      </w:r>
      <w:proofErr w:type="spellStart"/>
      <w:r w:rsidRPr="006B78D4">
        <w:rPr>
          <w:rFonts w:ascii="Book Antiqua" w:eastAsia="Times New Roman" w:hAnsi="Book Antiqua" w:cs="Times New Roman"/>
          <w:sz w:val="24"/>
          <w:szCs w:val="24"/>
          <w:lang w:eastAsia="de-DE"/>
        </w:rPr>
        <w:t>Verletzer</w:t>
      </w:r>
      <w:proofErr w:type="spellEnd"/>
      <w:r w:rsidRPr="006B78D4">
        <w:rPr>
          <w:rFonts w:ascii="Book Antiqua" w:eastAsia="Times New Roman" w:hAnsi="Book Antiqua" w:cs="Times New Roman"/>
          <w:sz w:val="24"/>
          <w:szCs w:val="24"/>
          <w:lang w:eastAsia="de-DE"/>
        </w:rPr>
        <w:t xml:space="preserve"> durch die Verletzung des Rechts erzielt hat, berücksichtigt werden. Der Schadensersatzanspruch kann auch auf der Grundlage des Betrages berechnet werden, den der </w:t>
      </w:r>
      <w:proofErr w:type="spellStart"/>
      <w:r w:rsidRPr="006B78D4">
        <w:rPr>
          <w:rFonts w:ascii="Book Antiqua" w:eastAsia="Times New Roman" w:hAnsi="Book Antiqua" w:cs="Times New Roman"/>
          <w:sz w:val="24"/>
          <w:szCs w:val="24"/>
          <w:lang w:eastAsia="de-DE"/>
        </w:rPr>
        <w:t>Verletzer</w:t>
      </w:r>
      <w:proofErr w:type="spellEnd"/>
      <w:r w:rsidRPr="006B78D4">
        <w:rPr>
          <w:rFonts w:ascii="Book Antiqua" w:eastAsia="Times New Roman" w:hAnsi="Book Antiqua" w:cs="Times New Roman"/>
          <w:sz w:val="24"/>
          <w:szCs w:val="24"/>
          <w:lang w:eastAsia="de-DE"/>
        </w:rPr>
        <w:t xml:space="preserve"> als angemessene Vergütung hätte entrichten müssen, wenn er die Erlaubnis zur Nutzung des verletzten Rechts eingeholt hätte. Urheber, Verfasser wissenschaftlicher Ausgaben (§ </w:t>
      </w:r>
      <w:hyperlink r:id="rId99" w:history="1">
        <w:r w:rsidRPr="006B78D4">
          <w:rPr>
            <w:rFonts w:ascii="Book Antiqua" w:eastAsia="Times New Roman" w:hAnsi="Book Antiqua" w:cs="Times New Roman"/>
            <w:sz w:val="24"/>
            <w:szCs w:val="24"/>
            <w:lang w:eastAsia="de-DE"/>
          </w:rPr>
          <w:t>70</w:t>
        </w:r>
      </w:hyperlink>
      <w:r w:rsidRPr="006B78D4">
        <w:rPr>
          <w:rFonts w:ascii="Book Antiqua" w:eastAsia="Times New Roman" w:hAnsi="Book Antiqua" w:cs="Times New Roman"/>
          <w:sz w:val="24"/>
          <w:szCs w:val="24"/>
          <w:lang w:eastAsia="de-DE"/>
        </w:rPr>
        <w:t>), Lichtbildner (§ </w:t>
      </w:r>
      <w:hyperlink r:id="rId100" w:history="1">
        <w:r w:rsidRPr="006B78D4">
          <w:rPr>
            <w:rFonts w:ascii="Book Antiqua" w:eastAsia="Times New Roman" w:hAnsi="Book Antiqua" w:cs="Times New Roman"/>
            <w:sz w:val="24"/>
            <w:szCs w:val="24"/>
            <w:lang w:eastAsia="de-DE"/>
          </w:rPr>
          <w:t>72</w:t>
        </w:r>
      </w:hyperlink>
      <w:r w:rsidRPr="006B78D4">
        <w:rPr>
          <w:rFonts w:ascii="Book Antiqua" w:eastAsia="Times New Roman" w:hAnsi="Book Antiqua" w:cs="Times New Roman"/>
          <w:sz w:val="24"/>
          <w:szCs w:val="24"/>
          <w:lang w:eastAsia="de-DE"/>
        </w:rPr>
        <w:t>) und ausübende Künstler (§ </w:t>
      </w:r>
      <w:hyperlink r:id="rId101" w:history="1">
        <w:r w:rsidRPr="006B78D4">
          <w:rPr>
            <w:rFonts w:ascii="Book Antiqua" w:eastAsia="Times New Roman" w:hAnsi="Book Antiqua" w:cs="Times New Roman"/>
            <w:sz w:val="24"/>
            <w:szCs w:val="24"/>
            <w:lang w:eastAsia="de-DE"/>
          </w:rPr>
          <w:t>73</w:t>
        </w:r>
      </w:hyperlink>
      <w:r w:rsidRPr="006B78D4">
        <w:rPr>
          <w:rFonts w:ascii="Book Antiqua" w:eastAsia="Times New Roman" w:hAnsi="Book Antiqua" w:cs="Times New Roman"/>
          <w:sz w:val="24"/>
          <w:szCs w:val="24"/>
          <w:lang w:eastAsia="de-DE"/>
        </w:rPr>
        <w:t>) können auch wegen des Schadens, der nicht Vermögensschaden ist, eine Entschädigung in Geld verlangen, wenn und soweit dies der Billigkeit entspricht.</w:t>
      </w: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p>
    <w:p w:rsidR="00ED2A01" w:rsidRPr="006B78D4" w:rsidRDefault="00ED2A01" w:rsidP="00ED2A01">
      <w:pPr>
        <w:spacing w:after="200" w:line="276" w:lineRule="auto"/>
        <w:rPr>
          <w:rFonts w:ascii="Book Antiqua" w:hAnsi="Book Antiqua"/>
          <w:b/>
          <w:sz w:val="24"/>
          <w:szCs w:val="24"/>
        </w:rPr>
      </w:pPr>
      <w:r w:rsidRPr="006B78D4">
        <w:rPr>
          <w:rFonts w:ascii="Book Antiqua" w:hAnsi="Book Antiqua"/>
          <w:b/>
          <w:sz w:val="24"/>
          <w:szCs w:val="24"/>
        </w:rPr>
        <w:t xml:space="preserve">§ 5 UWG - </w:t>
      </w:r>
      <w:r w:rsidRPr="006B78D4">
        <w:rPr>
          <w:rFonts w:ascii="Book Antiqua" w:eastAsia="Times New Roman" w:hAnsi="Book Antiqua" w:cs="Times New Roman"/>
          <w:b/>
          <w:bCs/>
          <w:kern w:val="36"/>
          <w:sz w:val="24"/>
          <w:szCs w:val="24"/>
          <w:lang w:eastAsia="de-DE"/>
        </w:rPr>
        <w:t>Irreführende geschäftliche Handlungen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 (1) Unlauter handelt, wer eine irreführende geschäftliche Handlung vornimmt, die geeignet ist, den Verbraucher oder sonstigen Marktteilnehmer zu einer geschäftlichen Entscheidung zu veranlassen, die er andernfalls nicht getroffen hätte. Eine geschäftliche Handlung ist irreführend, wenn sie unwahre Angaben enthält oder sonstige zur Täuschung geeignete Angaben über folgende Umstände enthält: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
        <w:gridCol w:w="450"/>
        <w:gridCol w:w="8631"/>
      </w:tblGrid>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1.</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wesentlichen Merkmale der Ware oder Dienstleistung wie Verfügbarkeit, Art, Ausführung, Vorteile, Risiken, Zusammensetzung, Zubehör, Verfahren oder Zeitpunkt der Herstellung, Lieferung oder Erbringung, Zwecktauglichkeit, Verwendungsmöglichkeit, Menge, Beschaffenheit, Kundendienst und Beschwerdeverfahren, geographische oder betriebliche Herkunft, von der Verwendung zu erwartende Ergebnisse oder die Ergebnisse oder wesentlichen Bestandteile von Tests der Waren oder Dienstleistungen;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den Anlass des Verkaufs wie das Vorhandensein eines besonderen Preisvorteils, den Preis oder die Art und Weise, in der er berechnet wird, oder die Bedingungen, unter denen die Ware geliefert oder die Dienstleistung erbracht wird;</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Person, Eigenschaften oder Rechte des Unternehmers wie Identität, Vermögen einschließlich der Rechte des geistigen Eigentums, den Umfang von Verpflichtungen, Befähigung, Status, Zulassung, Mitgliedschaften oder Beziehungen, Auszeichnungen oder Ehrungen, Beweggründe für die geschäftliche Handlung oder die Art des Vertriebs;</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 xml:space="preserve">Aussagen oder Symbole, die im Zusammenhang mit direktem oder indirektem Sponsoring stehen oder sich auf eine Zulassung des Unternehmers </w:t>
            </w:r>
            <w:r w:rsidRPr="006B78D4">
              <w:rPr>
                <w:rFonts w:ascii="Book Antiqua" w:eastAsia="Times New Roman" w:hAnsi="Book Antiqua" w:cs="Times New Roman"/>
                <w:sz w:val="24"/>
                <w:szCs w:val="24"/>
                <w:lang w:eastAsia="de-DE"/>
              </w:rPr>
              <w:lastRenderedPageBreak/>
              <w:t>oder der Waren oder Dienstleistungen beziehen;</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5.</w:t>
            </w:r>
            <w:bookmarkStart w:id="0" w:name="_GoBack"/>
            <w:bookmarkEnd w:id="0"/>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Notwendigkeit einer Leistung, eines Ersatzteils, eines Austauschs oder einer Reparatur;</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6.</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die Einhaltung eines Verhaltenskodexes, auf den sich der Unternehmer verbindlich verpflichtet hat, wenn er auf diese Bindung hinweist, oder</w:t>
            </w:r>
          </w:p>
        </w:tc>
      </w:tr>
      <w:tr w:rsidR="00ED2A01" w:rsidRPr="006B78D4" w:rsidTr="00ED2A01">
        <w:trPr>
          <w:tblCellSpacing w:w="15" w:type="dxa"/>
        </w:trPr>
        <w:tc>
          <w:tcPr>
            <w:tcW w:w="180" w:type="dxa"/>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7.</w:t>
            </w:r>
          </w:p>
        </w:tc>
        <w:tc>
          <w:tcPr>
            <w:tcW w:w="0" w:type="auto"/>
            <w:tcMar>
              <w:top w:w="96" w:type="dxa"/>
              <w:left w:w="144" w:type="dxa"/>
              <w:bottom w:w="96" w:type="dxa"/>
              <w:right w:w="96" w:type="dxa"/>
            </w:tcMar>
            <w:hideMark/>
          </w:tcPr>
          <w:p w:rsidR="00ED2A01" w:rsidRPr="006B78D4" w:rsidRDefault="00ED2A01" w:rsidP="00ED2A01">
            <w:pPr>
              <w:spacing w:after="150"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Rechte des Verbrauchers, insbesondere solche auf Grund von Garantieversprechen oder Gewährleistungsrechte bei Leistungsstörungen.</w:t>
            </w:r>
          </w:p>
        </w:tc>
      </w:tr>
    </w:tbl>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(2) Eine geschäftliche Handlung ist auch irreführend, wenn sie im Zusammenhang mit der Vermarktung von Waren oder Dienstleistungen einschließlich vergleichender Werbung eine Verwechslungsgefahr mit einer anderen Ware oder Dienstleistung oder mit der Marke oder einem anderen Kennzeichen eines Mitbewerbers hervorruft.</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(3) Angaben im Sinne von Absatz 1 Satz 2 sind auch Angaben im Rahmen vergleichender Werbung sowie bildliche Darstellungen und sonstige Veranstaltungen, die darauf zielen und geeignet sind, solche Angaben zu ersetzen.</w:t>
      </w:r>
    </w:p>
    <w:p w:rsidR="00ED2A01" w:rsidRPr="006B78D4" w:rsidRDefault="00ED2A01" w:rsidP="00ED2A01">
      <w:pPr>
        <w:shd w:val="clear" w:color="auto" w:fill="FFFFFF"/>
        <w:spacing w:after="225" w:line="240" w:lineRule="auto"/>
        <w:rPr>
          <w:rFonts w:ascii="Book Antiqua" w:eastAsia="Times New Roman" w:hAnsi="Book Antiqua" w:cs="Times New Roman"/>
          <w:sz w:val="24"/>
          <w:szCs w:val="24"/>
          <w:lang w:eastAsia="de-DE"/>
        </w:rPr>
      </w:pPr>
      <w:r w:rsidRPr="006B78D4">
        <w:rPr>
          <w:rFonts w:ascii="Book Antiqua" w:eastAsia="Times New Roman" w:hAnsi="Book Antiqua" w:cs="Times New Roman"/>
          <w:sz w:val="24"/>
          <w:szCs w:val="24"/>
          <w:lang w:eastAsia="de-DE"/>
        </w:rPr>
        <w:t>(4) Es wird vermutet, dass es irreführend ist, mit der Herabsetzung eines Preises zu werben, sofern der Preis nur für eine unangemessen kurze Zeit gefordert worden ist. Ist streitig, ob und in welchem Zeitraum der Preis gefordert worden ist, so trifft die Beweislast denjenigen, der mit der Preisherabsetzung geworben hat.</w:t>
      </w:r>
    </w:p>
    <w:p w:rsidR="00BE03A7" w:rsidRPr="00460BA5" w:rsidRDefault="006B78D4" w:rsidP="00460BA5">
      <w:pPr>
        <w:spacing w:after="200" w:line="276" w:lineRule="auto"/>
        <w:rPr>
          <w:rFonts w:ascii="Book Antiqua" w:eastAsia="Times New Roman" w:hAnsi="Book Antiqua" w:cs="Times New Roman"/>
          <w:lang w:eastAsia="de-DE"/>
        </w:rPr>
      </w:pPr>
      <w:r>
        <w:rPr>
          <w:rFonts w:ascii="Book Antiqua" w:eastAsia="Times New Roman" w:hAnsi="Book Antiqua" w:cs="Times New Roman"/>
          <w:lang w:eastAsia="de-DE"/>
        </w:rPr>
        <w:br w:type="page"/>
      </w:r>
    </w:p>
    <w:p w:rsidR="005E599B" w:rsidRPr="005E599B" w:rsidRDefault="005E599B" w:rsidP="005E599B">
      <w:pPr>
        <w:spacing w:after="0" w:line="240" w:lineRule="auto"/>
        <w:jc w:val="center"/>
        <w:rPr>
          <w:rFonts w:ascii="Book Antiqua" w:eastAsia="MS Mincho" w:hAnsi="Book Antiqua" w:cs="Times New Roman"/>
          <w:b/>
          <w:sz w:val="36"/>
          <w:szCs w:val="36"/>
          <w:u w:val="single"/>
          <w:lang w:eastAsia="de-DE"/>
        </w:rPr>
      </w:pPr>
      <w:r w:rsidRPr="005E599B">
        <w:rPr>
          <w:rFonts w:ascii="Book Antiqua" w:eastAsia="MS Mincho" w:hAnsi="Book Antiqua" w:cs="Times New Roman"/>
          <w:b/>
          <w:sz w:val="36"/>
          <w:szCs w:val="36"/>
          <w:u w:val="single"/>
          <w:lang w:eastAsia="de-DE"/>
        </w:rPr>
        <w:lastRenderedPageBreak/>
        <w:t>Checkliste „Website“</w:t>
      </w:r>
    </w:p>
    <w:p w:rsidR="005E599B" w:rsidRPr="005E599B" w:rsidRDefault="005E599B" w:rsidP="005E599B">
      <w:pPr>
        <w:spacing w:after="0" w:line="240" w:lineRule="auto"/>
        <w:rPr>
          <w:rFonts w:ascii="Cambria" w:eastAsia="MS Mincho" w:hAnsi="Cambria" w:cs="Times New Roman"/>
          <w:sz w:val="24"/>
          <w:szCs w:val="24"/>
          <w:lang w:eastAsia="de-DE"/>
        </w:rPr>
      </w:pP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76672" behindDoc="0" locked="0" layoutInCell="1" allowOverlap="1" wp14:anchorId="5A3DD7C2" wp14:editId="118B084B">
                <wp:simplePos x="0" y="0"/>
                <wp:positionH relativeFrom="column">
                  <wp:posOffset>5923280</wp:posOffset>
                </wp:positionH>
                <wp:positionV relativeFrom="paragraph">
                  <wp:posOffset>6841490</wp:posOffset>
                </wp:positionV>
                <wp:extent cx="161925" cy="152400"/>
                <wp:effectExtent l="57150" t="19050" r="85725" b="95250"/>
                <wp:wrapNone/>
                <wp:docPr id="27" name="Rechteck 27"/>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7" o:spid="_x0000_s1026" style="position:absolute;margin-left:466.4pt;margin-top:538.7pt;width:12.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75648" behindDoc="0" locked="0" layoutInCell="1" allowOverlap="1" wp14:anchorId="1DC9DE6B" wp14:editId="6466790C">
                <wp:simplePos x="0" y="0"/>
                <wp:positionH relativeFrom="column">
                  <wp:posOffset>5923280</wp:posOffset>
                </wp:positionH>
                <wp:positionV relativeFrom="paragraph">
                  <wp:posOffset>6155690</wp:posOffset>
                </wp:positionV>
                <wp:extent cx="161925" cy="152400"/>
                <wp:effectExtent l="57150" t="19050" r="85725" b="95250"/>
                <wp:wrapNone/>
                <wp:docPr id="26" name="Rechteck 26"/>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6" o:spid="_x0000_s1026" style="position:absolute;margin-left:466.4pt;margin-top:484.7pt;width:12.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Dmuw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74624" behindDoc="0" locked="0" layoutInCell="1" allowOverlap="1" wp14:anchorId="4A3EBAD1" wp14:editId="6391CE9F">
                <wp:simplePos x="0" y="0"/>
                <wp:positionH relativeFrom="column">
                  <wp:posOffset>5923280</wp:posOffset>
                </wp:positionH>
                <wp:positionV relativeFrom="paragraph">
                  <wp:posOffset>4326890</wp:posOffset>
                </wp:positionV>
                <wp:extent cx="161925" cy="152400"/>
                <wp:effectExtent l="57150" t="19050" r="85725" b="95250"/>
                <wp:wrapNone/>
                <wp:docPr id="25" name="Rechteck 25"/>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5" o:spid="_x0000_s1026" style="position:absolute;margin-left:466.4pt;margin-top:340.7pt;width:12.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oQuQ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73600" behindDoc="0" locked="0" layoutInCell="1" allowOverlap="1" wp14:anchorId="6BB09CC6" wp14:editId="717B5129">
                <wp:simplePos x="0" y="0"/>
                <wp:positionH relativeFrom="column">
                  <wp:posOffset>5923280</wp:posOffset>
                </wp:positionH>
                <wp:positionV relativeFrom="paragraph">
                  <wp:posOffset>2850515</wp:posOffset>
                </wp:positionV>
                <wp:extent cx="161925" cy="152400"/>
                <wp:effectExtent l="57150" t="19050" r="85725" b="95250"/>
                <wp:wrapNone/>
                <wp:docPr id="24" name="Rechteck 24"/>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4" o:spid="_x0000_s1026" style="position:absolute;margin-left:466.4pt;margin-top:224.45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72576" behindDoc="0" locked="0" layoutInCell="1" allowOverlap="1" wp14:anchorId="22E58E0E" wp14:editId="5B8761D0">
                <wp:simplePos x="0" y="0"/>
                <wp:positionH relativeFrom="column">
                  <wp:posOffset>5923280</wp:posOffset>
                </wp:positionH>
                <wp:positionV relativeFrom="paragraph">
                  <wp:posOffset>2355215</wp:posOffset>
                </wp:positionV>
                <wp:extent cx="161925" cy="152400"/>
                <wp:effectExtent l="57150" t="19050" r="85725" b="95250"/>
                <wp:wrapNone/>
                <wp:docPr id="23" name="Rechteck 23"/>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3" o:spid="_x0000_s1026" style="position:absolute;margin-left:466.4pt;margin-top:185.45pt;width:12.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8muw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71552" behindDoc="0" locked="0" layoutInCell="1" allowOverlap="1" wp14:anchorId="73C04146" wp14:editId="31951D08">
                <wp:simplePos x="0" y="0"/>
                <wp:positionH relativeFrom="column">
                  <wp:posOffset>5923280</wp:posOffset>
                </wp:positionH>
                <wp:positionV relativeFrom="paragraph">
                  <wp:posOffset>1898015</wp:posOffset>
                </wp:positionV>
                <wp:extent cx="161925" cy="152400"/>
                <wp:effectExtent l="57150" t="19050" r="85725" b="95250"/>
                <wp:wrapNone/>
                <wp:docPr id="22" name="Rechteck 22"/>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2" o:spid="_x0000_s1026" style="position:absolute;margin-left:466.4pt;margin-top:149.45pt;width:12.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70528" behindDoc="0" locked="0" layoutInCell="1" allowOverlap="1" wp14:anchorId="40878676" wp14:editId="2A3E2C71">
                <wp:simplePos x="0" y="0"/>
                <wp:positionH relativeFrom="column">
                  <wp:posOffset>5923280</wp:posOffset>
                </wp:positionH>
                <wp:positionV relativeFrom="paragraph">
                  <wp:posOffset>1240790</wp:posOffset>
                </wp:positionV>
                <wp:extent cx="161925" cy="152400"/>
                <wp:effectExtent l="57150" t="19050" r="85725" b="95250"/>
                <wp:wrapNone/>
                <wp:docPr id="21" name="Rechteck 21"/>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1" o:spid="_x0000_s1026" style="position:absolute;margin-left:466.4pt;margin-top:97.7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69504" behindDoc="0" locked="0" layoutInCell="1" allowOverlap="1" wp14:anchorId="2E3BC125" wp14:editId="456D76F7">
                <wp:simplePos x="0" y="0"/>
                <wp:positionH relativeFrom="column">
                  <wp:posOffset>5923280</wp:posOffset>
                </wp:positionH>
                <wp:positionV relativeFrom="paragraph">
                  <wp:posOffset>935990</wp:posOffset>
                </wp:positionV>
                <wp:extent cx="161925" cy="152400"/>
                <wp:effectExtent l="57150" t="19050" r="85725" b="95250"/>
                <wp:wrapNone/>
                <wp:docPr id="20" name="Rechteck 20"/>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0" o:spid="_x0000_s1026" style="position:absolute;margin-left:466.4pt;margin-top:73.7pt;width:12.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Qug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66432" behindDoc="0" locked="0" layoutInCell="1" allowOverlap="1" wp14:anchorId="1379C95C" wp14:editId="422E89EA">
                <wp:simplePos x="0" y="0"/>
                <wp:positionH relativeFrom="column">
                  <wp:posOffset>-344170</wp:posOffset>
                </wp:positionH>
                <wp:positionV relativeFrom="paragraph">
                  <wp:posOffset>6841490</wp:posOffset>
                </wp:positionV>
                <wp:extent cx="161925" cy="152400"/>
                <wp:effectExtent l="57150" t="19050" r="85725" b="95250"/>
                <wp:wrapNone/>
                <wp:docPr id="17" name="Rechteck 17"/>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7" o:spid="_x0000_s1026" style="position:absolute;margin-left:-27.1pt;margin-top:538.7pt;width:12.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65408" behindDoc="0" locked="0" layoutInCell="1" allowOverlap="1" wp14:anchorId="0E6DB864" wp14:editId="22479AC3">
                <wp:simplePos x="0" y="0"/>
                <wp:positionH relativeFrom="column">
                  <wp:posOffset>-344170</wp:posOffset>
                </wp:positionH>
                <wp:positionV relativeFrom="paragraph">
                  <wp:posOffset>6222365</wp:posOffset>
                </wp:positionV>
                <wp:extent cx="161925" cy="152400"/>
                <wp:effectExtent l="57150" t="19050" r="85725" b="95250"/>
                <wp:wrapNone/>
                <wp:docPr id="16" name="Rechteck 16"/>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6" o:spid="_x0000_s1026" style="position:absolute;margin-left:-27.1pt;margin-top:489.95pt;width:12.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64384" behindDoc="0" locked="0" layoutInCell="1" allowOverlap="1" wp14:anchorId="3008FACA" wp14:editId="6389E9F4">
                <wp:simplePos x="0" y="0"/>
                <wp:positionH relativeFrom="column">
                  <wp:posOffset>-344170</wp:posOffset>
                </wp:positionH>
                <wp:positionV relativeFrom="paragraph">
                  <wp:posOffset>4326890</wp:posOffset>
                </wp:positionV>
                <wp:extent cx="161925" cy="152400"/>
                <wp:effectExtent l="57150" t="19050" r="85725" b="95250"/>
                <wp:wrapNone/>
                <wp:docPr id="15" name="Rechteck 15"/>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5" o:spid="_x0000_s1026" style="position:absolute;margin-left:-27.1pt;margin-top:340.7pt;width:12.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63360" behindDoc="0" locked="0" layoutInCell="1" allowOverlap="1" wp14:anchorId="3CE115ED" wp14:editId="2212E83C">
                <wp:simplePos x="0" y="0"/>
                <wp:positionH relativeFrom="column">
                  <wp:posOffset>-344170</wp:posOffset>
                </wp:positionH>
                <wp:positionV relativeFrom="paragraph">
                  <wp:posOffset>2898140</wp:posOffset>
                </wp:positionV>
                <wp:extent cx="161925" cy="152400"/>
                <wp:effectExtent l="57150" t="19050" r="85725" b="95250"/>
                <wp:wrapNone/>
                <wp:docPr id="14" name="Rechteck 14"/>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27.1pt;margin-top:228.2pt;width:12.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Ifug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62336" behindDoc="0" locked="0" layoutInCell="1" allowOverlap="1" wp14:anchorId="4A64160B" wp14:editId="7CAE9270">
                <wp:simplePos x="0" y="0"/>
                <wp:positionH relativeFrom="column">
                  <wp:posOffset>-344170</wp:posOffset>
                </wp:positionH>
                <wp:positionV relativeFrom="paragraph">
                  <wp:posOffset>2355215</wp:posOffset>
                </wp:positionV>
                <wp:extent cx="161925" cy="152400"/>
                <wp:effectExtent l="57150" t="19050" r="85725" b="95250"/>
                <wp:wrapNone/>
                <wp:docPr id="6" name="Rechteck 6"/>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6" style="position:absolute;margin-left:-27.1pt;margin-top:185.45pt;width:1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61312" behindDoc="0" locked="0" layoutInCell="1" allowOverlap="1" wp14:anchorId="5034C8D9" wp14:editId="140A17E8">
                <wp:simplePos x="0" y="0"/>
                <wp:positionH relativeFrom="column">
                  <wp:posOffset>-344170</wp:posOffset>
                </wp:positionH>
                <wp:positionV relativeFrom="paragraph">
                  <wp:posOffset>1593215</wp:posOffset>
                </wp:positionV>
                <wp:extent cx="161925" cy="152400"/>
                <wp:effectExtent l="57150" t="19050" r="85725" b="95250"/>
                <wp:wrapNone/>
                <wp:docPr id="4" name="Rechteck 4"/>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6" style="position:absolute;margin-left:-27.1pt;margin-top:125.45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60288" behindDoc="0" locked="0" layoutInCell="1" allowOverlap="1" wp14:anchorId="6243E869" wp14:editId="6237E8C5">
                <wp:simplePos x="0" y="0"/>
                <wp:positionH relativeFrom="column">
                  <wp:posOffset>-344170</wp:posOffset>
                </wp:positionH>
                <wp:positionV relativeFrom="paragraph">
                  <wp:posOffset>1240790</wp:posOffset>
                </wp:positionV>
                <wp:extent cx="161925" cy="152400"/>
                <wp:effectExtent l="57150" t="19050" r="85725" b="95250"/>
                <wp:wrapNone/>
                <wp:docPr id="3" name="Rechteck 3"/>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27.1pt;margin-top:97.7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59264" behindDoc="0" locked="0" layoutInCell="1" allowOverlap="1" wp14:anchorId="15E9CB99" wp14:editId="453473FD">
                <wp:simplePos x="0" y="0"/>
                <wp:positionH relativeFrom="column">
                  <wp:posOffset>-347345</wp:posOffset>
                </wp:positionH>
                <wp:positionV relativeFrom="paragraph">
                  <wp:posOffset>931545</wp:posOffset>
                </wp:positionV>
                <wp:extent cx="161925" cy="152400"/>
                <wp:effectExtent l="57150" t="19050" r="85725" b="95250"/>
                <wp:wrapNone/>
                <wp:docPr id="9" name="Rechteck 9"/>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9" o:spid="_x0000_s1026" style="position:absolute;margin-left:-27.35pt;margin-top:73.35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" fillcolor="window" strokecolor="windowText">
                <v:shadow on="t" color="black" opacity="22937f" origin=",.5" offset="0,.63889mm"/>
              </v:rect>
            </w:pict>
          </mc:Fallback>
        </mc:AlternateContent>
      </w:r>
    </w:p>
    <w:tbl>
      <w:tblPr>
        <w:tblStyle w:val="Tabellenraster1"/>
        <w:tblW w:w="9292" w:type="dxa"/>
        <w:tblLayout w:type="fixed"/>
        <w:tblLook w:val="04A0" w:firstRow="1" w:lastRow="0" w:firstColumn="1" w:lastColumn="0" w:noHBand="0" w:noVBand="1"/>
      </w:tblPr>
      <w:tblGrid>
        <w:gridCol w:w="2262"/>
        <w:gridCol w:w="2322"/>
        <w:gridCol w:w="2331"/>
        <w:gridCol w:w="2377"/>
      </w:tblGrid>
      <w:tr w:rsidR="005E599B" w:rsidRPr="005E599B" w:rsidTr="000260FA">
        <w:trPr>
          <w:trHeight w:val="512"/>
        </w:trPr>
        <w:tc>
          <w:tcPr>
            <w:tcW w:w="4584" w:type="dxa"/>
            <w:gridSpan w:val="2"/>
          </w:tcPr>
          <w:p w:rsidR="005E599B" w:rsidRPr="005E599B" w:rsidRDefault="005E599B" w:rsidP="005E599B">
            <w:pPr>
              <w:spacing w:after="0" w:line="240" w:lineRule="auto"/>
              <w:jc w:val="center"/>
              <w:rPr>
                <w:rFonts w:ascii="Book Antiqua" w:hAnsi="Book Antiqua" w:cs="Times New Roman"/>
                <w:u w:val="single"/>
              </w:rPr>
            </w:pPr>
            <w:r w:rsidRPr="005E599B">
              <w:rPr>
                <w:rFonts w:ascii="Book Antiqua" w:hAnsi="Book Antiqua" w:cs="Times New Roman"/>
                <w:u w:val="single"/>
              </w:rPr>
              <w:t>Makler</w:t>
            </w:r>
          </w:p>
        </w:tc>
        <w:tc>
          <w:tcPr>
            <w:tcW w:w="4708" w:type="dxa"/>
            <w:gridSpan w:val="2"/>
          </w:tcPr>
          <w:p w:rsidR="005E599B" w:rsidRPr="005E599B" w:rsidRDefault="005E599B" w:rsidP="005E599B">
            <w:pPr>
              <w:spacing w:after="0" w:line="240" w:lineRule="auto"/>
              <w:jc w:val="center"/>
              <w:rPr>
                <w:rFonts w:ascii="Book Antiqua" w:hAnsi="Book Antiqua" w:cs="Times New Roman"/>
                <w:u w:val="single"/>
              </w:rPr>
            </w:pPr>
            <w:r w:rsidRPr="005E599B">
              <w:rPr>
                <w:rFonts w:ascii="Book Antiqua" w:hAnsi="Book Antiqua" w:cs="Times New Roman"/>
                <w:u w:val="single"/>
              </w:rPr>
              <w:t>Anwalt</w:t>
            </w:r>
          </w:p>
        </w:tc>
      </w:tr>
      <w:tr w:rsidR="005E599B" w:rsidRPr="005E599B" w:rsidTr="000260FA">
        <w:trPr>
          <w:trHeight w:val="498"/>
        </w:trPr>
        <w:tc>
          <w:tcPr>
            <w:tcW w:w="2262" w:type="dxa"/>
          </w:tcPr>
          <w:p w:rsidR="005E599B" w:rsidRPr="005E599B" w:rsidRDefault="005E599B" w:rsidP="005E599B">
            <w:pPr>
              <w:spacing w:after="0" w:line="240" w:lineRule="auto"/>
              <w:jc w:val="both"/>
              <w:rPr>
                <w:rFonts w:ascii="Book Antiqua" w:hAnsi="Book Antiqua" w:cs="Times New Roman"/>
                <w:b/>
              </w:rPr>
            </w:pPr>
            <w:r w:rsidRPr="005E599B">
              <w:rPr>
                <w:rFonts w:ascii="Book Antiqua" w:hAnsi="Book Antiqua" w:cs="Times New Roman"/>
                <w:b/>
              </w:rPr>
              <w:t>Was?</w:t>
            </w:r>
          </w:p>
        </w:tc>
        <w:tc>
          <w:tcPr>
            <w:tcW w:w="2322" w:type="dxa"/>
          </w:tcPr>
          <w:p w:rsidR="005E599B" w:rsidRPr="005E599B" w:rsidRDefault="005E599B" w:rsidP="005E599B">
            <w:pPr>
              <w:spacing w:after="0" w:line="240" w:lineRule="auto"/>
              <w:rPr>
                <w:rFonts w:ascii="Book Antiqua" w:hAnsi="Book Antiqua" w:cs="Times New Roman"/>
                <w:b/>
                <w:sz w:val="20"/>
                <w:szCs w:val="20"/>
              </w:rPr>
            </w:pPr>
            <w:r w:rsidRPr="005E599B">
              <w:rPr>
                <w:rFonts w:ascii="Book Antiqua" w:hAnsi="Book Antiqua" w:cs="Times New Roman"/>
                <w:b/>
                <w:sz w:val="20"/>
                <w:szCs w:val="20"/>
              </w:rPr>
              <w:t>Notizen</w:t>
            </w:r>
          </w:p>
        </w:tc>
        <w:tc>
          <w:tcPr>
            <w:tcW w:w="2331" w:type="dxa"/>
          </w:tcPr>
          <w:p w:rsidR="005E599B" w:rsidRPr="005E599B" w:rsidRDefault="004C1872" w:rsidP="005E599B">
            <w:pPr>
              <w:spacing w:after="0" w:line="240" w:lineRule="auto"/>
              <w:rPr>
                <w:rFonts w:ascii="Book Antiqua" w:hAnsi="Book Antiqua" w:cs="Times New Roman"/>
              </w:rPr>
            </w:pPr>
            <w:r>
              <w:rPr>
                <w:rFonts w:ascii="Book Antiqua" w:hAnsi="Book Antiqua" w:cs="Times New Roman"/>
                <w:b/>
              </w:rPr>
              <w:t>Wo geregelt</w:t>
            </w:r>
            <w:r w:rsidR="005E599B" w:rsidRPr="005E599B">
              <w:rPr>
                <w:rFonts w:ascii="Book Antiqua" w:hAnsi="Book Antiqua" w:cs="Times New Roman"/>
              </w:rPr>
              <w:t>?</w:t>
            </w:r>
          </w:p>
        </w:tc>
        <w:tc>
          <w:tcPr>
            <w:tcW w:w="2377" w:type="dxa"/>
          </w:tcPr>
          <w:p w:rsidR="005E599B" w:rsidRPr="005E599B" w:rsidRDefault="005E599B" w:rsidP="005E599B">
            <w:pPr>
              <w:spacing w:after="0" w:line="240" w:lineRule="auto"/>
              <w:rPr>
                <w:rFonts w:ascii="Book Antiqua" w:hAnsi="Book Antiqua" w:cs="Times New Roman"/>
                <w:b/>
              </w:rPr>
            </w:pPr>
            <w:r w:rsidRPr="005E599B">
              <w:rPr>
                <w:rFonts w:ascii="Book Antiqua" w:hAnsi="Book Antiqua" w:cs="Times New Roman"/>
                <w:b/>
              </w:rPr>
              <w:t>Anmerkungen</w:t>
            </w:r>
          </w:p>
        </w:tc>
      </w:tr>
      <w:tr w:rsidR="005E599B" w:rsidRPr="005E599B" w:rsidTr="000260FA">
        <w:trPr>
          <w:trHeight w:val="498"/>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Erstinformation</w:t>
            </w:r>
          </w:p>
        </w:tc>
        <w:tc>
          <w:tcPr>
            <w:tcW w:w="2322" w:type="dxa"/>
          </w:tcPr>
          <w:p w:rsidR="005E599B" w:rsidRPr="005E599B" w:rsidRDefault="005E599B" w:rsidP="005E599B">
            <w:pPr>
              <w:spacing w:after="0" w:line="240" w:lineRule="auto"/>
              <w:rPr>
                <w:rFonts w:ascii="Book Antiqua" w:hAnsi="Book Antiqua" w:cs="Times New Roman"/>
                <w:b/>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 11 VersVermV</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498"/>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Impressum</w:t>
            </w:r>
          </w:p>
        </w:tc>
        <w:tc>
          <w:tcPr>
            <w:tcW w:w="2322" w:type="dxa"/>
          </w:tcPr>
          <w:p w:rsidR="005E599B" w:rsidRPr="005E599B" w:rsidRDefault="005E599B" w:rsidP="005E599B">
            <w:pPr>
              <w:spacing w:after="0" w:line="240" w:lineRule="auto"/>
              <w:rPr>
                <w:rFonts w:ascii="Book Antiqua" w:hAnsi="Book Antiqua" w:cs="Times New Roman"/>
                <w:b/>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 5 TMG</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498"/>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Datenschutzerklärung</w:t>
            </w:r>
          </w:p>
        </w:tc>
        <w:tc>
          <w:tcPr>
            <w:tcW w:w="2322" w:type="dxa"/>
          </w:tcPr>
          <w:p w:rsidR="005E599B" w:rsidRPr="005E599B" w:rsidRDefault="005E599B" w:rsidP="005E599B">
            <w:pPr>
              <w:spacing w:after="0" w:line="240" w:lineRule="auto"/>
              <w:rPr>
                <w:rFonts w:ascii="Book Antiqua" w:hAnsi="Book Antiqua" w:cs="Times New Roman"/>
                <w:b/>
                <w:sz w:val="20"/>
                <w:szCs w:val="20"/>
              </w:rPr>
            </w:pPr>
          </w:p>
        </w:tc>
        <w:tc>
          <w:tcPr>
            <w:tcW w:w="2331" w:type="dxa"/>
          </w:tcPr>
          <w:p w:rsidR="005E599B" w:rsidRPr="005E599B" w:rsidRDefault="005E599B" w:rsidP="005E599B">
            <w:pPr>
              <w:spacing w:after="0" w:line="240" w:lineRule="auto"/>
              <w:rPr>
                <w:rFonts w:ascii="Book Antiqua" w:hAnsi="Book Antiqua" w:cs="Times New Roman"/>
              </w:rPr>
            </w:pP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498"/>
        </w:trPr>
        <w:tc>
          <w:tcPr>
            <w:tcW w:w="2262" w:type="dxa"/>
          </w:tcPr>
          <w:p w:rsidR="005E599B" w:rsidRPr="005E599B" w:rsidRDefault="005E599B" w:rsidP="005E599B">
            <w:pPr>
              <w:spacing w:after="0" w:line="240" w:lineRule="auto"/>
              <w:rPr>
                <w:rFonts w:ascii="Book Antiqua" w:hAnsi="Book Antiqua" w:cs="Times New Roman"/>
                <w:b/>
              </w:rPr>
            </w:pPr>
            <w:r w:rsidRPr="005E599B">
              <w:rPr>
                <w:rFonts w:ascii="Book Antiqua" w:hAnsi="Book Antiqua" w:cs="Times New Roman"/>
                <w:b/>
              </w:rPr>
              <w:t>§ 312 i BGB</w:t>
            </w:r>
          </w:p>
        </w:tc>
        <w:tc>
          <w:tcPr>
            <w:tcW w:w="2322" w:type="dxa"/>
          </w:tcPr>
          <w:p w:rsidR="005E599B" w:rsidRPr="005E599B" w:rsidRDefault="005E599B" w:rsidP="005E599B">
            <w:pPr>
              <w:spacing w:after="0" w:line="240" w:lineRule="auto"/>
              <w:rPr>
                <w:rFonts w:ascii="Book Antiqua" w:hAnsi="Book Antiqua" w:cs="Times New Roman"/>
                <w:b/>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b/>
              </w:rPr>
              <w:t>§ 312 i BGB</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512"/>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sz w:val="20"/>
                <w:szCs w:val="20"/>
              </w:rPr>
              <w:t>Technische Mittel zur Korrektur von Eingabefehlern</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 xml:space="preserve">§ 312 i </w:t>
            </w:r>
            <w:proofErr w:type="spellStart"/>
            <w:r w:rsidRPr="005E599B">
              <w:rPr>
                <w:rFonts w:ascii="Book Antiqua" w:hAnsi="Book Antiqua" w:cs="Times New Roman"/>
              </w:rPr>
              <w:t>I</w:t>
            </w:r>
            <w:proofErr w:type="spellEnd"/>
            <w:r w:rsidRPr="005E599B">
              <w:rPr>
                <w:rFonts w:ascii="Book Antiqua" w:hAnsi="Book Antiqua" w:cs="Times New Roman"/>
              </w:rPr>
              <w:t xml:space="preserve"> S.1 Nr. 1</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512"/>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sz w:val="20"/>
                <w:szCs w:val="20"/>
              </w:rPr>
              <w:t>Gesetzliche Anforderungen des Art. 246c EGBGB mitgeteilt</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 xml:space="preserve">§ 312 i </w:t>
            </w:r>
            <w:proofErr w:type="spellStart"/>
            <w:r w:rsidRPr="005E599B">
              <w:rPr>
                <w:rFonts w:ascii="Book Antiqua" w:hAnsi="Book Antiqua" w:cs="Times New Roman"/>
              </w:rPr>
              <w:t>I</w:t>
            </w:r>
            <w:proofErr w:type="spellEnd"/>
            <w:r w:rsidRPr="005E599B">
              <w:rPr>
                <w:rFonts w:ascii="Book Antiqua" w:hAnsi="Book Antiqua" w:cs="Times New Roman"/>
              </w:rPr>
              <w:t xml:space="preserve"> S. 1 Nr. 2</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498"/>
        </w:trPr>
        <w:tc>
          <w:tcPr>
            <w:tcW w:w="2262" w:type="dxa"/>
          </w:tcPr>
          <w:p w:rsidR="005E599B" w:rsidRPr="005E599B" w:rsidRDefault="005E599B" w:rsidP="005E599B">
            <w:pPr>
              <w:spacing w:after="0" w:line="240" w:lineRule="auto"/>
              <w:rPr>
                <w:rFonts w:ascii="Book Antiqua" w:hAnsi="Book Antiqua" w:cs="Times New Roman"/>
                <w:sz w:val="20"/>
                <w:szCs w:val="20"/>
              </w:rPr>
            </w:pPr>
            <w:r w:rsidRPr="005E599B">
              <w:rPr>
                <w:rFonts w:ascii="Book Antiqua" w:hAnsi="Book Antiqua" w:cs="Times New Roman"/>
                <w:sz w:val="20"/>
                <w:szCs w:val="20"/>
              </w:rPr>
              <w:t>Nr. 1 technische Schritte zum Vertragsschluss</w:t>
            </w:r>
          </w:p>
          <w:p w:rsidR="005E599B" w:rsidRPr="005E599B" w:rsidRDefault="005E599B" w:rsidP="005E599B">
            <w:pPr>
              <w:spacing w:after="0" w:line="240" w:lineRule="auto"/>
              <w:rPr>
                <w:rFonts w:ascii="Book Antiqua" w:hAnsi="Book Antiqua" w:cs="Times New Roman"/>
                <w:sz w:val="20"/>
                <w:szCs w:val="20"/>
              </w:rPr>
            </w:pPr>
            <w:r w:rsidRPr="005E599B">
              <w:rPr>
                <w:rFonts w:ascii="Book Antiqua" w:hAnsi="Book Antiqua" w:cs="Times New Roman"/>
                <w:sz w:val="20"/>
                <w:szCs w:val="20"/>
              </w:rPr>
              <w:t>Nr. 2 Mitteilung, ob Vertragstext gespeichert wird</w:t>
            </w:r>
          </w:p>
          <w:p w:rsidR="005E599B" w:rsidRPr="005E599B" w:rsidRDefault="005E599B" w:rsidP="005E599B">
            <w:pPr>
              <w:spacing w:after="0" w:line="240" w:lineRule="auto"/>
              <w:rPr>
                <w:rFonts w:ascii="Book Antiqua" w:hAnsi="Book Antiqua" w:cs="Times New Roman"/>
                <w:sz w:val="20"/>
                <w:szCs w:val="20"/>
              </w:rPr>
            </w:pPr>
            <w:r w:rsidRPr="005E599B">
              <w:rPr>
                <w:rFonts w:ascii="Book Antiqua" w:hAnsi="Book Antiqua" w:cs="Times New Roman"/>
                <w:sz w:val="20"/>
                <w:szCs w:val="20"/>
              </w:rPr>
              <w:t xml:space="preserve">Nr. 3 Mitteilungen, wie der Nutzer die nach § 312 i </w:t>
            </w:r>
            <w:proofErr w:type="spellStart"/>
            <w:r w:rsidRPr="005E599B">
              <w:rPr>
                <w:rFonts w:ascii="Book Antiqua" w:hAnsi="Book Antiqua" w:cs="Times New Roman"/>
                <w:sz w:val="20"/>
                <w:szCs w:val="20"/>
              </w:rPr>
              <w:t>I</w:t>
            </w:r>
            <w:proofErr w:type="spellEnd"/>
            <w:r w:rsidRPr="005E599B">
              <w:rPr>
                <w:rFonts w:ascii="Book Antiqua" w:hAnsi="Book Antiqua" w:cs="Times New Roman"/>
                <w:sz w:val="20"/>
                <w:szCs w:val="20"/>
              </w:rPr>
              <w:t xml:space="preserve"> S. 1 Nr. 1 Angaben ändern kann</w:t>
            </w:r>
          </w:p>
          <w:p w:rsidR="005E599B" w:rsidRPr="005E599B" w:rsidRDefault="005E599B" w:rsidP="005E599B">
            <w:pPr>
              <w:spacing w:after="0" w:line="240" w:lineRule="auto"/>
              <w:rPr>
                <w:rFonts w:ascii="Book Antiqua" w:hAnsi="Book Antiqua" w:cs="Times New Roman"/>
                <w:sz w:val="20"/>
                <w:szCs w:val="20"/>
              </w:rPr>
            </w:pPr>
            <w:r w:rsidRPr="005E599B">
              <w:rPr>
                <w:rFonts w:ascii="Book Antiqua" w:hAnsi="Book Antiqua" w:cs="Times New Roman"/>
                <w:sz w:val="20"/>
                <w:szCs w:val="20"/>
              </w:rPr>
              <w:t>Nr. 4 Zur Verfügung stehenden Sprachen</w:t>
            </w:r>
          </w:p>
          <w:p w:rsidR="005E599B" w:rsidRPr="005E599B" w:rsidRDefault="005E599B" w:rsidP="005E599B">
            <w:pPr>
              <w:spacing w:after="0" w:line="240" w:lineRule="auto"/>
              <w:rPr>
                <w:rFonts w:ascii="Book Antiqua" w:hAnsi="Book Antiqua" w:cs="Times New Roman"/>
                <w:sz w:val="20"/>
                <w:szCs w:val="20"/>
              </w:rPr>
            </w:pPr>
            <w:r w:rsidRPr="005E599B">
              <w:rPr>
                <w:rFonts w:ascii="Book Antiqua" w:hAnsi="Book Antiqua" w:cs="Times New Roman"/>
                <w:sz w:val="20"/>
                <w:szCs w:val="20"/>
              </w:rPr>
              <w:t>Nr. 5 Mitteilungen über sämtliche Vertragskodizes, die der Nutzer eingeht</w:t>
            </w:r>
          </w:p>
          <w:p w:rsidR="005E599B" w:rsidRPr="005E599B" w:rsidRDefault="005E599B" w:rsidP="005E599B">
            <w:pPr>
              <w:spacing w:after="0" w:line="240" w:lineRule="auto"/>
              <w:rPr>
                <w:rFonts w:ascii="Book Antiqua" w:hAnsi="Book Antiqua" w:cs="Times New Roman"/>
              </w:rPr>
            </w:pP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Art. 246c EGBGB</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512"/>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sz w:val="20"/>
                <w:szCs w:val="20"/>
              </w:rPr>
              <w:t>Empfangsbestätigung der Bestellung dem Nutzer mitteilen</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 xml:space="preserve">§ 312 i </w:t>
            </w:r>
            <w:proofErr w:type="spellStart"/>
            <w:r w:rsidRPr="005E599B">
              <w:rPr>
                <w:rFonts w:ascii="Book Antiqua" w:hAnsi="Book Antiqua" w:cs="Times New Roman"/>
              </w:rPr>
              <w:t>I</w:t>
            </w:r>
            <w:proofErr w:type="spellEnd"/>
            <w:r w:rsidRPr="005E599B">
              <w:rPr>
                <w:rFonts w:ascii="Book Antiqua" w:hAnsi="Book Antiqua" w:cs="Times New Roman"/>
              </w:rPr>
              <w:t xml:space="preserve"> S. 1 Nr. 3</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512"/>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sz w:val="20"/>
                <w:szCs w:val="20"/>
              </w:rPr>
              <w:t>Möglichkeit der Speicherung der Vertragsbestimmungen sowie der AGB bei Vertragsabschluss</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 xml:space="preserve">§ 312 i </w:t>
            </w:r>
            <w:proofErr w:type="spellStart"/>
            <w:r w:rsidRPr="005E599B">
              <w:rPr>
                <w:rFonts w:ascii="Book Antiqua" w:hAnsi="Book Antiqua" w:cs="Times New Roman"/>
              </w:rPr>
              <w:t>I</w:t>
            </w:r>
            <w:proofErr w:type="spellEnd"/>
            <w:r w:rsidRPr="005E599B">
              <w:rPr>
                <w:rFonts w:ascii="Book Antiqua" w:hAnsi="Book Antiqua" w:cs="Times New Roman"/>
              </w:rPr>
              <w:t xml:space="preserve"> S. 1 Nr. 4</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512"/>
        </w:trPr>
        <w:tc>
          <w:tcPr>
            <w:tcW w:w="2262" w:type="dxa"/>
          </w:tcPr>
          <w:p w:rsidR="005E599B" w:rsidRPr="005E599B" w:rsidRDefault="003D249F" w:rsidP="005E599B">
            <w:pPr>
              <w:spacing w:after="0" w:line="240" w:lineRule="auto"/>
              <w:rPr>
                <w:rFonts w:ascii="Book Antiqua" w:hAnsi="Book Antiqua" w:cs="Times New Roman"/>
                <w:b/>
              </w:rPr>
            </w:pPr>
            <w:r w:rsidRPr="005E599B">
              <w:rPr>
                <w:rFonts w:ascii="Cambria" w:hAnsi="Cambria" w:cs="Times New Roman"/>
                <w:noProof/>
              </w:rPr>
              <mc:AlternateContent>
                <mc:Choice Requires="wps">
                  <w:drawing>
                    <wp:anchor distT="0" distB="0" distL="114300" distR="114300" simplePos="0" relativeHeight="251667456" behindDoc="0" locked="0" layoutInCell="1" allowOverlap="1" wp14:anchorId="08528EB9" wp14:editId="623A1291">
                      <wp:simplePos x="0" y="0"/>
                      <wp:positionH relativeFrom="column">
                        <wp:posOffset>-344170</wp:posOffset>
                      </wp:positionH>
                      <wp:positionV relativeFrom="paragraph">
                        <wp:posOffset>50800</wp:posOffset>
                      </wp:positionV>
                      <wp:extent cx="161925" cy="152400"/>
                      <wp:effectExtent l="57150" t="19050" r="85725" b="95250"/>
                      <wp:wrapNone/>
                      <wp:docPr id="18" name="Rechteck 18"/>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8" o:spid="_x0000_s1026" style="position:absolute;margin-left:-27.1pt;margin-top:4pt;width:12.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" fillcolor="window" strokecolor="windowText">
                      <v:shadow on="t" color="black" opacity="22937f" origin=",.5" offset="0,.63889mm"/>
                    </v:rect>
                  </w:pict>
                </mc:Fallback>
              </mc:AlternateContent>
            </w:r>
            <w:r w:rsidR="005E599B" w:rsidRPr="005E599B">
              <w:rPr>
                <w:rFonts w:ascii="Book Antiqua" w:hAnsi="Book Antiqua" w:cs="Times New Roman"/>
                <w:sz w:val="20"/>
                <w:szCs w:val="20"/>
              </w:rPr>
              <w:t>Gelten nur gegenüber Verbrauchern</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b/>
              </w:rPr>
              <w:t>§ 312 j BGB</w:t>
            </w:r>
          </w:p>
        </w:tc>
        <w:tc>
          <w:tcPr>
            <w:tcW w:w="2377" w:type="dxa"/>
          </w:tcPr>
          <w:p w:rsidR="005E599B" w:rsidRPr="005E599B" w:rsidRDefault="003D249F" w:rsidP="005E599B">
            <w:pPr>
              <w:spacing w:after="0" w:line="240" w:lineRule="auto"/>
              <w:rPr>
                <w:rFonts w:ascii="Book Antiqua" w:hAnsi="Book Antiqua" w:cs="Times New Roman"/>
              </w:rPr>
            </w:pPr>
            <w:r w:rsidRPr="005E599B">
              <w:rPr>
                <w:rFonts w:ascii="Cambria" w:hAnsi="Cambria" w:cs="Times New Roman"/>
                <w:noProof/>
              </w:rPr>
              <mc:AlternateContent>
                <mc:Choice Requires="wps">
                  <w:drawing>
                    <wp:anchor distT="0" distB="0" distL="114300" distR="114300" simplePos="0" relativeHeight="251677696" behindDoc="0" locked="0" layoutInCell="1" allowOverlap="1" wp14:anchorId="68E729D4" wp14:editId="073C8C1A">
                      <wp:simplePos x="0" y="0"/>
                      <wp:positionH relativeFrom="column">
                        <wp:posOffset>1532255</wp:posOffset>
                      </wp:positionH>
                      <wp:positionV relativeFrom="paragraph">
                        <wp:posOffset>98425</wp:posOffset>
                      </wp:positionV>
                      <wp:extent cx="161925" cy="152400"/>
                      <wp:effectExtent l="57150" t="19050" r="85725" b="95250"/>
                      <wp:wrapNone/>
                      <wp:docPr id="28" name="Rechteck 28"/>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8" o:spid="_x0000_s1026" style="position:absolute;margin-left:120.65pt;margin-top:7.75pt;width:12.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cuug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" fillcolor="window" strokecolor="windowText">
                      <v:shadow on="t" color="black" opacity="22937f" origin=",.5" offset="0,.63889mm"/>
                    </v:rect>
                  </w:pict>
                </mc:Fallback>
              </mc:AlternateContent>
            </w:r>
          </w:p>
        </w:tc>
      </w:tr>
      <w:tr w:rsidR="005E599B" w:rsidRPr="005E599B" w:rsidTr="000260FA">
        <w:trPr>
          <w:trHeight w:val="512"/>
        </w:trPr>
        <w:tc>
          <w:tcPr>
            <w:tcW w:w="2262" w:type="dxa"/>
          </w:tcPr>
          <w:p w:rsidR="005E599B" w:rsidRPr="005E599B" w:rsidRDefault="003D249F" w:rsidP="005E599B">
            <w:pPr>
              <w:spacing w:after="0" w:line="240" w:lineRule="auto"/>
              <w:rPr>
                <w:rFonts w:ascii="Book Antiqua" w:hAnsi="Book Antiqua" w:cs="Times New Roman"/>
              </w:rPr>
            </w:pPr>
            <w:r w:rsidRPr="005E599B">
              <w:rPr>
                <w:rFonts w:ascii="Cambria" w:hAnsi="Cambria" w:cs="Times New Roman"/>
                <w:noProof/>
              </w:rPr>
              <mc:AlternateContent>
                <mc:Choice Requires="wps">
                  <w:drawing>
                    <wp:anchor distT="0" distB="0" distL="114300" distR="114300" simplePos="0" relativeHeight="251668480" behindDoc="0" locked="0" layoutInCell="1" allowOverlap="1" wp14:anchorId="38D76C01" wp14:editId="3B5742CC">
                      <wp:simplePos x="0" y="0"/>
                      <wp:positionH relativeFrom="column">
                        <wp:posOffset>-344170</wp:posOffset>
                      </wp:positionH>
                      <wp:positionV relativeFrom="paragraph">
                        <wp:posOffset>233680</wp:posOffset>
                      </wp:positionV>
                      <wp:extent cx="161925" cy="152400"/>
                      <wp:effectExtent l="57150" t="19050" r="85725" b="95250"/>
                      <wp:wrapNone/>
                      <wp:docPr id="19" name="Rechteck 19"/>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9" o:spid="_x0000_s1026" style="position:absolute;margin-left:-27.1pt;margin-top:18.4pt;width:12.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" fillcolor="window" strokecolor="windowText">
                      <v:shadow on="t" color="black" opacity="22937f" origin=",.5" offset="0,.63889mm"/>
                    </v:rect>
                  </w:pict>
                </mc:Fallback>
              </mc:AlternateContent>
            </w:r>
            <w:r w:rsidR="005E599B" w:rsidRPr="005E599B">
              <w:rPr>
                <w:rFonts w:ascii="Book Antiqua" w:hAnsi="Book Antiqua" w:cs="Times New Roman"/>
                <w:sz w:val="20"/>
                <w:szCs w:val="20"/>
              </w:rPr>
              <w:t>Hinweis auf Lieferschwierigkeiten sowie Anzahl der Zahlungsmittel</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 312 j I BGB</w:t>
            </w:r>
          </w:p>
        </w:tc>
        <w:tc>
          <w:tcPr>
            <w:tcW w:w="2377" w:type="dxa"/>
          </w:tcPr>
          <w:p w:rsidR="005E599B" w:rsidRPr="005E599B" w:rsidRDefault="003D249F" w:rsidP="005E599B">
            <w:pPr>
              <w:spacing w:after="0" w:line="240" w:lineRule="auto"/>
              <w:rPr>
                <w:rFonts w:ascii="Book Antiqua" w:hAnsi="Book Antiqua" w:cs="Times New Roman"/>
              </w:rPr>
            </w:pPr>
            <w:r w:rsidRPr="005E599B">
              <w:rPr>
                <w:rFonts w:ascii="Cambria" w:hAnsi="Cambria" w:cs="Times New Roman"/>
                <w:noProof/>
              </w:rPr>
              <mc:AlternateContent>
                <mc:Choice Requires="wps">
                  <w:drawing>
                    <wp:anchor distT="0" distB="0" distL="114300" distR="114300" simplePos="0" relativeHeight="251678720" behindDoc="0" locked="0" layoutInCell="1" allowOverlap="1" wp14:anchorId="415CD830" wp14:editId="21DE6F1F">
                      <wp:simplePos x="0" y="0"/>
                      <wp:positionH relativeFrom="column">
                        <wp:posOffset>1532255</wp:posOffset>
                      </wp:positionH>
                      <wp:positionV relativeFrom="paragraph">
                        <wp:posOffset>233680</wp:posOffset>
                      </wp:positionV>
                      <wp:extent cx="161925" cy="152400"/>
                      <wp:effectExtent l="57150" t="19050" r="85725" b="95250"/>
                      <wp:wrapNone/>
                      <wp:docPr id="29" name="Rechteck 29"/>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9" o:spid="_x0000_s1026" style="position:absolute;margin-left:120.65pt;margin-top:18.4pt;width:12.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" fillcolor="window" strokecolor="windowText">
                      <v:shadow on="t" color="black" opacity="22937f" origin=",.5" offset="0,.63889mm"/>
                    </v:rect>
                  </w:pict>
                </mc:Fallback>
              </mc:AlternateContent>
            </w:r>
          </w:p>
        </w:tc>
      </w:tr>
      <w:tr w:rsidR="005E599B" w:rsidRPr="005E599B" w:rsidTr="000260FA">
        <w:trPr>
          <w:trHeight w:val="512"/>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sz w:val="20"/>
                <w:szCs w:val="20"/>
              </w:rPr>
              <w:lastRenderedPageBreak/>
              <w:t>Informationspflichten nach Art. 246a § 1 I S.1 Nr. 1, 4, 5, 11, 12 EGBGB vor Bestellung</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 312 j II BGB</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498"/>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sz w:val="20"/>
                <w:szCs w:val="20"/>
              </w:rPr>
              <w:t>Zur Verfügung stellen der wesentlichen Eigenschaften der Ware</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Art. 246a § 1 I S. 1 Nr. 1</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512"/>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sz w:val="20"/>
                <w:szCs w:val="20"/>
              </w:rPr>
              <w:t>Gesamtpreis der Waren zur Verfügung stellen, inkl. Steuern und Abgaben (Gesamtpreis)</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Art. 246a § 1 I S. 1 Nr. 4</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512"/>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sz w:val="20"/>
                <w:szCs w:val="20"/>
              </w:rPr>
              <w:t>Bei Abo-Verträgen die Gesamtdauer und die Gesamtkosten</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Art. 246a § 1 I S. 1 Nr. 5</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498"/>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sz w:val="20"/>
                <w:szCs w:val="20"/>
              </w:rPr>
              <w:t>Ggf. Laufzeit der Verträge</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Art. 246a § 1 I S. 1 Nr. 11</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512"/>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sz w:val="20"/>
                <w:szCs w:val="20"/>
              </w:rPr>
              <w:t>Ggf. Mindestdauer der Verpflichtungen, die der Verbraucher eingeht</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Art. 246a § 1 I S. 1 Nr. 12</w:t>
            </w:r>
          </w:p>
        </w:tc>
        <w:tc>
          <w:tcPr>
            <w:tcW w:w="2377" w:type="dxa"/>
          </w:tcPr>
          <w:p w:rsidR="005E599B" w:rsidRPr="005E599B" w:rsidRDefault="005E599B" w:rsidP="005E599B">
            <w:pPr>
              <w:spacing w:after="0" w:line="240" w:lineRule="auto"/>
              <w:rPr>
                <w:rFonts w:ascii="Book Antiqua" w:hAnsi="Book Antiqua" w:cs="Times New Roman"/>
              </w:rPr>
            </w:pPr>
          </w:p>
        </w:tc>
      </w:tr>
      <w:tr w:rsidR="005E599B" w:rsidRPr="005E599B" w:rsidTr="000260FA">
        <w:trPr>
          <w:trHeight w:val="512"/>
        </w:trPr>
        <w:tc>
          <w:tcPr>
            <w:tcW w:w="2262"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sz w:val="20"/>
                <w:szCs w:val="20"/>
              </w:rPr>
              <w:t>Bestellsituation muss so gestaltet werden, dass der Verbraucher mit seiner Bestellung ausdrücklich bestätigt, dass er sich zu einer Zahlung verpflichtet. Gem. S.2 mit Schaltfläche „Zahlungspflichtig bestellen“</w:t>
            </w:r>
          </w:p>
        </w:tc>
        <w:tc>
          <w:tcPr>
            <w:tcW w:w="2322" w:type="dxa"/>
          </w:tcPr>
          <w:p w:rsidR="005E599B" w:rsidRPr="005E599B" w:rsidRDefault="005E599B" w:rsidP="005E599B">
            <w:pPr>
              <w:spacing w:after="0" w:line="240" w:lineRule="auto"/>
              <w:rPr>
                <w:rFonts w:ascii="Book Antiqua" w:hAnsi="Book Antiqua" w:cs="Times New Roman"/>
                <w:sz w:val="20"/>
                <w:szCs w:val="20"/>
              </w:rPr>
            </w:pPr>
          </w:p>
        </w:tc>
        <w:tc>
          <w:tcPr>
            <w:tcW w:w="2331" w:type="dxa"/>
          </w:tcPr>
          <w:p w:rsidR="005E599B" w:rsidRPr="005E599B" w:rsidRDefault="005E599B" w:rsidP="005E599B">
            <w:pPr>
              <w:spacing w:after="0" w:line="240" w:lineRule="auto"/>
              <w:rPr>
                <w:rFonts w:ascii="Book Antiqua" w:hAnsi="Book Antiqua" w:cs="Times New Roman"/>
              </w:rPr>
            </w:pPr>
            <w:r w:rsidRPr="005E599B">
              <w:rPr>
                <w:rFonts w:ascii="Book Antiqua" w:hAnsi="Book Antiqua" w:cs="Times New Roman"/>
              </w:rPr>
              <w:t>§ 312j III S. 1</w:t>
            </w:r>
          </w:p>
        </w:tc>
        <w:tc>
          <w:tcPr>
            <w:tcW w:w="2377" w:type="dxa"/>
          </w:tcPr>
          <w:p w:rsidR="005E599B" w:rsidRPr="005E599B" w:rsidRDefault="003D249F" w:rsidP="005E599B">
            <w:pPr>
              <w:spacing w:after="0" w:line="240" w:lineRule="auto"/>
              <w:rPr>
                <w:rFonts w:ascii="Book Antiqua" w:hAnsi="Book Antiqua" w:cs="Times New Roman"/>
              </w:rPr>
            </w:pPr>
            <w:r w:rsidRPr="005E599B">
              <w:rPr>
                <w:rFonts w:ascii="Cambria" w:hAnsi="Cambria" w:cs="Times New Roman"/>
                <w:noProof/>
              </w:rPr>
              <mc:AlternateContent>
                <mc:Choice Requires="wps">
                  <w:drawing>
                    <wp:anchor distT="0" distB="0" distL="114300" distR="114300" simplePos="0" relativeHeight="251695104" behindDoc="0" locked="0" layoutInCell="1" allowOverlap="1" wp14:anchorId="3E13FDAA" wp14:editId="1FF73A80">
                      <wp:simplePos x="0" y="0"/>
                      <wp:positionH relativeFrom="column">
                        <wp:posOffset>1541780</wp:posOffset>
                      </wp:positionH>
                      <wp:positionV relativeFrom="paragraph">
                        <wp:posOffset>694055</wp:posOffset>
                      </wp:positionV>
                      <wp:extent cx="161925" cy="152400"/>
                      <wp:effectExtent l="57150" t="19050" r="85725" b="95250"/>
                      <wp:wrapNone/>
                      <wp:docPr id="13" name="Rechteck 13"/>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3" o:spid="_x0000_s1026" style="position:absolute;margin-left:121.4pt;margin-top:54.65pt;width:12.7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F7ug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" fillcolor="window" strokecolor="windowText">
                      <v:shadow on="t" color="black" opacity="22937f" origin=",.5" offset="0,.63889mm"/>
                    </v:rect>
                  </w:pict>
                </mc:Fallback>
              </mc:AlternateContent>
            </w:r>
          </w:p>
        </w:tc>
      </w:tr>
    </w:tbl>
    <w:p w:rsidR="005E599B" w:rsidRPr="005E599B" w:rsidRDefault="005E599B" w:rsidP="005E599B">
      <w:pPr>
        <w:spacing w:after="0" w:line="240" w:lineRule="auto"/>
        <w:rPr>
          <w:rFonts w:ascii="Book Antiqua" w:eastAsia="MS Mincho" w:hAnsi="Book Antiqua" w:cs="Times New Roman"/>
          <w:sz w:val="24"/>
          <w:szCs w:val="24"/>
          <w:lang w:eastAsia="de-DE"/>
        </w:rPr>
      </w:pP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93056" behindDoc="0" locked="0" layoutInCell="1" allowOverlap="1" wp14:anchorId="55DDB522" wp14:editId="357AAB8D">
                <wp:simplePos x="0" y="0"/>
                <wp:positionH relativeFrom="column">
                  <wp:posOffset>5929630</wp:posOffset>
                </wp:positionH>
                <wp:positionV relativeFrom="paragraph">
                  <wp:posOffset>4181475</wp:posOffset>
                </wp:positionV>
                <wp:extent cx="161925" cy="152400"/>
                <wp:effectExtent l="57150" t="19050" r="85725" b="95250"/>
                <wp:wrapNone/>
                <wp:docPr id="43" name="Rechteck 43"/>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3" o:spid="_x0000_s1026" style="position:absolute;margin-left:466.9pt;margin-top:329.25pt;width:12.7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Kdug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" fillcolor="window" strokecolor="windowText">
                <v:shadow on="t" color="black" opacity="22937f" origin=",.5" offset="0,.63889mm"/>
              </v:rect>
            </w:pict>
          </mc:Fallback>
        </mc:AlternateContent>
      </w:r>
      <w:r w:rsidRPr="005E599B">
        <w:rPr>
          <w:rFonts w:ascii="Book Antiqua" w:eastAsia="MS Mincho" w:hAnsi="Book Antiqua" w:cs="Times New Roman"/>
          <w:sz w:val="24"/>
          <w:szCs w:val="24"/>
          <w:lang w:eastAsia="de-DE"/>
        </w:rPr>
        <w:br/>
      </w:r>
      <w:r w:rsidRPr="005E599B">
        <w:rPr>
          <w:rFonts w:ascii="Book Antiqua" w:eastAsia="MS Mincho" w:hAnsi="Book Antiqua" w:cs="Times New Roman"/>
          <w:sz w:val="24"/>
          <w:szCs w:val="24"/>
          <w:lang w:eastAsia="de-DE"/>
        </w:rPr>
        <w:br/>
      </w:r>
      <w:r w:rsidR="00432686">
        <w:rPr>
          <w:rFonts w:ascii="Book Antiqua" w:eastAsia="MS Mincho" w:hAnsi="Book Antiqua" w:cs="Times New Roman"/>
          <w:sz w:val="24"/>
          <w:szCs w:val="24"/>
          <w:lang w:eastAsia="de-DE"/>
        </w:rPr>
        <w:t>Ort / Datum:</w:t>
      </w:r>
      <w:r w:rsidRPr="005E599B">
        <w:rPr>
          <w:rFonts w:ascii="Book Antiqua" w:eastAsia="MS Mincho" w:hAnsi="Book Antiqua" w:cs="Times New Roman"/>
          <w:sz w:val="24"/>
          <w:szCs w:val="24"/>
          <w:lang w:eastAsia="de-DE"/>
        </w:rPr>
        <w:br/>
      </w:r>
      <w:r w:rsidRPr="005E599B">
        <w:rPr>
          <w:rFonts w:ascii="Book Antiqua" w:eastAsia="MS Mincho" w:hAnsi="Book Antiqua" w:cs="Times New Roman"/>
          <w:sz w:val="24"/>
          <w:szCs w:val="24"/>
          <w:lang w:eastAsia="de-DE"/>
        </w:rPr>
        <w:br/>
      </w:r>
      <w:r w:rsidRPr="005E599B">
        <w:rPr>
          <w:rFonts w:ascii="Book Antiqua" w:eastAsia="MS Mincho" w:hAnsi="Book Antiqua" w:cs="Times New Roman"/>
          <w:sz w:val="24"/>
          <w:szCs w:val="24"/>
          <w:lang w:eastAsia="de-DE"/>
        </w:rPr>
        <w:br/>
      </w:r>
      <w:r w:rsidRPr="005E599B">
        <w:rPr>
          <w:rFonts w:ascii="Book Antiqua" w:eastAsia="MS Mincho" w:hAnsi="Book Antiqua" w:cs="Times New Roman"/>
          <w:sz w:val="24"/>
          <w:szCs w:val="24"/>
          <w:lang w:eastAsia="de-DE"/>
        </w:rPr>
        <w:br/>
      </w:r>
      <w:r w:rsidRPr="005E599B">
        <w:rPr>
          <w:rFonts w:ascii="Book Antiqua" w:eastAsia="MS Mincho" w:hAnsi="Book Antiqua" w:cs="Times New Roman"/>
          <w:sz w:val="24"/>
          <w:szCs w:val="24"/>
          <w:lang w:eastAsia="de-DE"/>
        </w:rPr>
        <w:br/>
        <w:t>----------------------------</w:t>
      </w:r>
      <w:r w:rsidRPr="005E599B">
        <w:rPr>
          <w:rFonts w:ascii="Book Antiqua" w:eastAsia="MS Mincho" w:hAnsi="Book Antiqua" w:cs="Times New Roman"/>
          <w:sz w:val="24"/>
          <w:szCs w:val="24"/>
          <w:lang w:eastAsia="de-DE"/>
        </w:rPr>
        <w:tab/>
      </w:r>
      <w:r w:rsidRPr="005E599B">
        <w:rPr>
          <w:rFonts w:ascii="Book Antiqua" w:eastAsia="MS Mincho" w:hAnsi="Book Antiqua" w:cs="Times New Roman"/>
          <w:sz w:val="24"/>
          <w:szCs w:val="24"/>
          <w:lang w:eastAsia="de-DE"/>
        </w:rPr>
        <w:tab/>
      </w:r>
      <w:r w:rsidRPr="005E599B">
        <w:rPr>
          <w:rFonts w:ascii="Book Antiqua" w:eastAsia="MS Mincho" w:hAnsi="Book Antiqua" w:cs="Times New Roman"/>
          <w:sz w:val="24"/>
          <w:szCs w:val="24"/>
          <w:lang w:eastAsia="de-DE"/>
        </w:rPr>
        <w:tab/>
      </w:r>
      <w:r w:rsidRPr="005E599B">
        <w:rPr>
          <w:rFonts w:ascii="Book Antiqua" w:eastAsia="MS Mincho" w:hAnsi="Book Antiqua" w:cs="Times New Roman"/>
          <w:sz w:val="24"/>
          <w:szCs w:val="24"/>
          <w:lang w:eastAsia="de-DE"/>
        </w:rPr>
        <w:tab/>
      </w:r>
      <w:r w:rsidRPr="005E599B">
        <w:rPr>
          <w:rFonts w:ascii="Book Antiqua" w:eastAsia="MS Mincho" w:hAnsi="Book Antiqua" w:cs="Times New Roman"/>
          <w:sz w:val="24"/>
          <w:szCs w:val="24"/>
          <w:lang w:eastAsia="de-DE"/>
        </w:rPr>
        <w:tab/>
      </w:r>
      <w:r w:rsidRPr="005E599B">
        <w:rPr>
          <w:rFonts w:ascii="Book Antiqua" w:eastAsia="MS Mincho" w:hAnsi="Book Antiqua" w:cs="Times New Roman"/>
          <w:sz w:val="24"/>
          <w:szCs w:val="24"/>
          <w:lang w:eastAsia="de-DE"/>
        </w:rPr>
        <w:tab/>
        <w:t>----------------------------</w:t>
      </w:r>
      <w:r w:rsidRPr="005E599B">
        <w:rPr>
          <w:rFonts w:ascii="Book Antiqua" w:eastAsia="MS Mincho" w:hAnsi="Book Antiqua" w:cs="Times New Roman"/>
          <w:sz w:val="24"/>
          <w:szCs w:val="24"/>
          <w:lang w:eastAsia="de-DE"/>
        </w:rPr>
        <w:br/>
        <w:t>Unterschrift Makler</w:t>
      </w:r>
      <w:r w:rsidRPr="005E599B">
        <w:rPr>
          <w:rFonts w:ascii="Book Antiqua" w:eastAsia="MS Mincho" w:hAnsi="Book Antiqua" w:cs="Times New Roman"/>
          <w:sz w:val="24"/>
          <w:szCs w:val="24"/>
          <w:lang w:eastAsia="de-DE"/>
        </w:rPr>
        <w:tab/>
      </w:r>
      <w:r w:rsidRPr="005E599B">
        <w:rPr>
          <w:rFonts w:ascii="Book Antiqua" w:eastAsia="MS Mincho" w:hAnsi="Book Antiqua" w:cs="Times New Roman"/>
          <w:sz w:val="24"/>
          <w:szCs w:val="24"/>
          <w:lang w:eastAsia="de-DE"/>
        </w:rPr>
        <w:tab/>
      </w:r>
      <w:r w:rsidRPr="005E599B">
        <w:rPr>
          <w:rFonts w:ascii="Book Antiqua" w:eastAsia="MS Mincho" w:hAnsi="Book Antiqua" w:cs="Times New Roman"/>
          <w:sz w:val="24"/>
          <w:szCs w:val="24"/>
          <w:lang w:eastAsia="de-DE"/>
        </w:rPr>
        <w:tab/>
      </w:r>
      <w:r w:rsidRPr="005E599B">
        <w:rPr>
          <w:rFonts w:ascii="Book Antiqua" w:eastAsia="MS Mincho" w:hAnsi="Book Antiqua" w:cs="Times New Roman"/>
          <w:sz w:val="24"/>
          <w:szCs w:val="24"/>
          <w:lang w:eastAsia="de-DE"/>
        </w:rPr>
        <w:tab/>
      </w:r>
      <w:r w:rsidRPr="005E599B">
        <w:rPr>
          <w:rFonts w:ascii="Book Antiqua" w:eastAsia="MS Mincho" w:hAnsi="Book Antiqua" w:cs="Times New Roman"/>
          <w:sz w:val="24"/>
          <w:szCs w:val="24"/>
          <w:lang w:eastAsia="de-DE"/>
        </w:rPr>
        <w:tab/>
      </w:r>
      <w:r w:rsidRPr="005E599B">
        <w:rPr>
          <w:rFonts w:ascii="Book Antiqua" w:eastAsia="MS Mincho" w:hAnsi="Book Antiqua" w:cs="Times New Roman"/>
          <w:sz w:val="24"/>
          <w:szCs w:val="24"/>
          <w:lang w:eastAsia="de-DE"/>
        </w:rPr>
        <w:tab/>
      </w:r>
      <w:r w:rsidRPr="005E599B">
        <w:rPr>
          <w:rFonts w:ascii="Book Antiqua" w:eastAsia="MS Mincho" w:hAnsi="Book Antiqua" w:cs="Times New Roman"/>
          <w:sz w:val="24"/>
          <w:szCs w:val="24"/>
          <w:lang w:eastAsia="de-DE"/>
        </w:rPr>
        <w:tab/>
        <w:t>Unterschrift Anwalt</w: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92032" behindDoc="0" locked="0" layoutInCell="1" allowOverlap="1" wp14:anchorId="6C02D276" wp14:editId="4350DC2F">
                <wp:simplePos x="0" y="0"/>
                <wp:positionH relativeFrom="column">
                  <wp:posOffset>5932805</wp:posOffset>
                </wp:positionH>
                <wp:positionV relativeFrom="paragraph">
                  <wp:posOffset>-2153285</wp:posOffset>
                </wp:positionV>
                <wp:extent cx="161925" cy="152400"/>
                <wp:effectExtent l="57150" t="19050" r="85725" b="95250"/>
                <wp:wrapNone/>
                <wp:docPr id="42" name="Rechteck 42"/>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2" o:spid="_x0000_s1026" style="position:absolute;margin-left:467.15pt;margin-top:-169.55pt;width:12.7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91008" behindDoc="0" locked="0" layoutInCell="1" allowOverlap="1" wp14:anchorId="101BDB1B" wp14:editId="17B16118">
                <wp:simplePos x="0" y="0"/>
                <wp:positionH relativeFrom="column">
                  <wp:posOffset>5932805</wp:posOffset>
                </wp:positionH>
                <wp:positionV relativeFrom="paragraph">
                  <wp:posOffset>-2648585</wp:posOffset>
                </wp:positionV>
                <wp:extent cx="161925" cy="152400"/>
                <wp:effectExtent l="57150" t="19050" r="85725" b="95250"/>
                <wp:wrapNone/>
                <wp:docPr id="41" name="Rechteck 41"/>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1" o:spid="_x0000_s1026" style="position:absolute;margin-left:467.15pt;margin-top:-208.55pt;width:12.7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89984" behindDoc="0" locked="0" layoutInCell="1" allowOverlap="1" wp14:anchorId="0AE697BC" wp14:editId="4B57BBBF">
                <wp:simplePos x="0" y="0"/>
                <wp:positionH relativeFrom="column">
                  <wp:posOffset>5932805</wp:posOffset>
                </wp:positionH>
                <wp:positionV relativeFrom="paragraph">
                  <wp:posOffset>-3067685</wp:posOffset>
                </wp:positionV>
                <wp:extent cx="161925" cy="152400"/>
                <wp:effectExtent l="57150" t="19050" r="85725" b="95250"/>
                <wp:wrapNone/>
                <wp:docPr id="40" name="Rechteck 40"/>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0" o:spid="_x0000_s1026" style="position:absolute;margin-left:467.15pt;margin-top:-241.55pt;width:12.7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hruA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88960" behindDoc="0" locked="0" layoutInCell="1" allowOverlap="1" wp14:anchorId="7FCA6DEB" wp14:editId="13E7C0EB">
                <wp:simplePos x="0" y="0"/>
                <wp:positionH relativeFrom="column">
                  <wp:posOffset>5932805</wp:posOffset>
                </wp:positionH>
                <wp:positionV relativeFrom="paragraph">
                  <wp:posOffset>-3705860</wp:posOffset>
                </wp:positionV>
                <wp:extent cx="161925" cy="152400"/>
                <wp:effectExtent l="57150" t="19050" r="85725" b="95250"/>
                <wp:wrapNone/>
                <wp:docPr id="39" name="Rechteck 39"/>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9" o:spid="_x0000_s1026" style="position:absolute;margin-left:467.15pt;margin-top:-291.8pt;width:12.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87936" behindDoc="0" locked="0" layoutInCell="1" allowOverlap="1" wp14:anchorId="3CE0A41B" wp14:editId="11046425">
                <wp:simplePos x="0" y="0"/>
                <wp:positionH relativeFrom="column">
                  <wp:posOffset>5932805</wp:posOffset>
                </wp:positionH>
                <wp:positionV relativeFrom="paragraph">
                  <wp:posOffset>-4496435</wp:posOffset>
                </wp:positionV>
                <wp:extent cx="161925" cy="152400"/>
                <wp:effectExtent l="57150" t="19050" r="85725" b="95250"/>
                <wp:wrapNone/>
                <wp:docPr id="38" name="Rechteck 38"/>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8" o:spid="_x0000_s1026" style="position:absolute;margin-left:467.15pt;margin-top:-354.05pt;width:12.7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2sug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86912" behindDoc="0" locked="0" layoutInCell="1" allowOverlap="1" wp14:anchorId="7082AC17" wp14:editId="6010E796">
                <wp:simplePos x="0" y="0"/>
                <wp:positionH relativeFrom="column">
                  <wp:posOffset>5932805</wp:posOffset>
                </wp:positionH>
                <wp:positionV relativeFrom="paragraph">
                  <wp:posOffset>-5086985</wp:posOffset>
                </wp:positionV>
                <wp:extent cx="161925" cy="152400"/>
                <wp:effectExtent l="57150" t="19050" r="85725" b="95250"/>
                <wp:wrapNone/>
                <wp:docPr id="37" name="Rechteck 37"/>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7" o:spid="_x0000_s1026" style="position:absolute;margin-left:467.15pt;margin-top:-400.55pt;width:12.7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85888" behindDoc="0" locked="0" layoutInCell="1" allowOverlap="1" wp14:anchorId="039161A7" wp14:editId="7B5BF651">
                <wp:simplePos x="0" y="0"/>
                <wp:positionH relativeFrom="column">
                  <wp:posOffset>-391795</wp:posOffset>
                </wp:positionH>
                <wp:positionV relativeFrom="paragraph">
                  <wp:posOffset>-1048385</wp:posOffset>
                </wp:positionV>
                <wp:extent cx="161925" cy="152400"/>
                <wp:effectExtent l="57150" t="19050" r="85725" b="95250"/>
                <wp:wrapNone/>
                <wp:docPr id="36" name="Rechteck 36"/>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6" o:spid="_x0000_s1026" style="position:absolute;margin-left:-30.85pt;margin-top:-82.55pt;width:12.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pkuw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84864" behindDoc="0" locked="0" layoutInCell="1" allowOverlap="1" wp14:anchorId="1205798A" wp14:editId="77145D33">
                <wp:simplePos x="0" y="0"/>
                <wp:positionH relativeFrom="column">
                  <wp:posOffset>-391795</wp:posOffset>
                </wp:positionH>
                <wp:positionV relativeFrom="paragraph">
                  <wp:posOffset>-2153285</wp:posOffset>
                </wp:positionV>
                <wp:extent cx="161925" cy="152400"/>
                <wp:effectExtent l="57150" t="19050" r="85725" b="95250"/>
                <wp:wrapNone/>
                <wp:docPr id="35" name="Rechteck 35"/>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5" o:spid="_x0000_s1026" style="position:absolute;margin-left:-30.85pt;margin-top:-169.55pt;width:12.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CSug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83840" behindDoc="0" locked="0" layoutInCell="1" allowOverlap="1" wp14:anchorId="634864F6" wp14:editId="6B561FBC">
                <wp:simplePos x="0" y="0"/>
                <wp:positionH relativeFrom="column">
                  <wp:posOffset>-391795</wp:posOffset>
                </wp:positionH>
                <wp:positionV relativeFrom="paragraph">
                  <wp:posOffset>-2648585</wp:posOffset>
                </wp:positionV>
                <wp:extent cx="161925" cy="152400"/>
                <wp:effectExtent l="57150" t="19050" r="85725" b="95250"/>
                <wp:wrapNone/>
                <wp:docPr id="34" name="Rechteck 34"/>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4" o:spid="_x0000_s1026" style="position:absolute;margin-left:-30.85pt;margin-top:-208.55pt;width:12.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bAuw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82816" behindDoc="0" locked="0" layoutInCell="1" allowOverlap="1" wp14:anchorId="620C5E7D" wp14:editId="0F91D088">
                <wp:simplePos x="0" y="0"/>
                <wp:positionH relativeFrom="column">
                  <wp:posOffset>-391795</wp:posOffset>
                </wp:positionH>
                <wp:positionV relativeFrom="paragraph">
                  <wp:posOffset>-3077210</wp:posOffset>
                </wp:positionV>
                <wp:extent cx="161925" cy="152400"/>
                <wp:effectExtent l="57150" t="19050" r="85725" b="95250"/>
                <wp:wrapNone/>
                <wp:docPr id="33" name="Rechteck 33"/>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3" o:spid="_x0000_s1026" style="position:absolute;margin-left:-30.85pt;margin-top:-242.3pt;width:12.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81792" behindDoc="0" locked="0" layoutInCell="1" allowOverlap="1" wp14:anchorId="67F9B331" wp14:editId="715C4B12">
                <wp:simplePos x="0" y="0"/>
                <wp:positionH relativeFrom="column">
                  <wp:posOffset>-391795</wp:posOffset>
                </wp:positionH>
                <wp:positionV relativeFrom="paragraph">
                  <wp:posOffset>-3705860</wp:posOffset>
                </wp:positionV>
                <wp:extent cx="161925" cy="152400"/>
                <wp:effectExtent l="57150" t="19050" r="85725" b="95250"/>
                <wp:wrapNone/>
                <wp:docPr id="32" name="Rechteck 32"/>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2" o:spid="_x0000_s1026" style="position:absolute;margin-left:-30.85pt;margin-top:-291.8pt;width:12.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P2uw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80768" behindDoc="0" locked="0" layoutInCell="1" allowOverlap="1" wp14:anchorId="7CB8DD6F" wp14:editId="5B13DABE">
                <wp:simplePos x="0" y="0"/>
                <wp:positionH relativeFrom="column">
                  <wp:posOffset>-391795</wp:posOffset>
                </wp:positionH>
                <wp:positionV relativeFrom="paragraph">
                  <wp:posOffset>-4439285</wp:posOffset>
                </wp:positionV>
                <wp:extent cx="161925" cy="152400"/>
                <wp:effectExtent l="57150" t="19050" r="85725" b="95250"/>
                <wp:wrapNone/>
                <wp:docPr id="31" name="Rechteck 31"/>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1" o:spid="_x0000_s1026" style="position:absolute;margin-left:-30.85pt;margin-top:-349.55pt;width:12.7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" fillcolor="window" strokecolor="windowText">
                <v:shadow on="t" color="black" opacity="22937f" origin=",.5" offset="0,.63889mm"/>
              </v:rect>
            </w:pict>
          </mc:Fallback>
        </mc:AlternateContent>
      </w:r>
      <w:r w:rsidRPr="005E599B">
        <w:rPr>
          <w:rFonts w:ascii="Cambria" w:eastAsia="MS Mincho" w:hAnsi="Cambria" w:cs="Times New Roman"/>
          <w:noProof/>
          <w:sz w:val="24"/>
          <w:szCs w:val="24"/>
          <w:lang w:eastAsia="de-DE"/>
        </w:rPr>
        <mc:AlternateContent>
          <mc:Choice Requires="wps">
            <w:drawing>
              <wp:anchor distT="0" distB="0" distL="114300" distR="114300" simplePos="0" relativeHeight="251679744" behindDoc="0" locked="0" layoutInCell="1" allowOverlap="1" wp14:anchorId="23BB88C3" wp14:editId="6C7A5D3B">
                <wp:simplePos x="0" y="0"/>
                <wp:positionH relativeFrom="column">
                  <wp:posOffset>-391795</wp:posOffset>
                </wp:positionH>
                <wp:positionV relativeFrom="paragraph">
                  <wp:posOffset>-5134610</wp:posOffset>
                </wp:positionV>
                <wp:extent cx="161925" cy="152400"/>
                <wp:effectExtent l="57150" t="19050" r="85725" b="95250"/>
                <wp:wrapNone/>
                <wp:docPr id="30" name="Rechteck 30"/>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0" o:spid="_x0000_s1026" style="position:absolute;margin-left:-30.85pt;margin-top:-404.3pt;width:12.7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" fillcolor="window" strokecolor="windowText">
                <v:shadow on="t" color="black" opacity="22937f" origin=",.5" offset="0,.63889mm"/>
              </v:rect>
            </w:pict>
          </mc:Fallback>
        </mc:AlternateContent>
      </w:r>
    </w:p>
    <w:p w:rsidR="00ED2A01" w:rsidRDefault="00ED2A01" w:rsidP="00ED2A01">
      <w:pPr>
        <w:shd w:val="clear" w:color="auto" w:fill="FFFFFF"/>
        <w:spacing w:after="225" w:line="240" w:lineRule="auto"/>
        <w:rPr>
          <w:rFonts w:ascii="Book Antiqua" w:eastAsia="Times New Roman" w:hAnsi="Book Antiqua" w:cs="Times New Roman"/>
          <w:lang w:eastAsia="de-DE"/>
        </w:rPr>
      </w:pPr>
    </w:p>
    <w:p w:rsidR="00BE03A7" w:rsidRDefault="00BE03A7" w:rsidP="00ED2A01">
      <w:pPr>
        <w:shd w:val="clear" w:color="auto" w:fill="FFFFFF"/>
        <w:spacing w:after="225" w:line="240" w:lineRule="auto"/>
        <w:rPr>
          <w:rFonts w:ascii="Book Antiqua" w:eastAsia="Times New Roman" w:hAnsi="Book Antiqua" w:cs="Times New Roman"/>
          <w:lang w:eastAsia="de-DE"/>
        </w:rPr>
      </w:pPr>
    </w:p>
    <w:p w:rsidR="00BE03A7" w:rsidRDefault="00BE03A7" w:rsidP="00ED2A01">
      <w:pPr>
        <w:shd w:val="clear" w:color="auto" w:fill="FFFFFF"/>
        <w:spacing w:after="225" w:line="240" w:lineRule="auto"/>
        <w:rPr>
          <w:rFonts w:ascii="Book Antiqua" w:eastAsia="Times New Roman" w:hAnsi="Book Antiqua" w:cs="Times New Roman"/>
          <w:lang w:eastAsia="de-DE"/>
        </w:rPr>
      </w:pPr>
    </w:p>
    <w:p w:rsidR="00460BA5" w:rsidRDefault="00460BA5" w:rsidP="00ED2A01">
      <w:pPr>
        <w:shd w:val="clear" w:color="auto" w:fill="FFFFFF"/>
        <w:spacing w:after="225" w:line="240" w:lineRule="auto"/>
        <w:rPr>
          <w:rFonts w:ascii="Book Antiqua" w:eastAsia="Times New Roman" w:hAnsi="Book Antiqua" w:cs="Times New Roman"/>
          <w:lang w:eastAsia="de-DE"/>
        </w:rPr>
      </w:pPr>
    </w:p>
    <w:p w:rsidR="00BE03A7" w:rsidRPr="00ED2A01" w:rsidRDefault="00BE03A7" w:rsidP="00BE03A7">
      <w:pPr>
        <w:shd w:val="clear" w:color="auto" w:fill="FFFFFF"/>
        <w:spacing w:after="225" w:line="240" w:lineRule="auto"/>
        <w:jc w:val="center"/>
        <w:rPr>
          <w:rFonts w:ascii="Book Antiqua" w:eastAsia="Times New Roman" w:hAnsi="Book Antiqua" w:cs="Times New Roman"/>
          <w:lang w:eastAsia="de-DE"/>
        </w:rPr>
      </w:pPr>
      <w:r w:rsidRPr="00BE03A7">
        <w:rPr>
          <w:rFonts w:ascii="Book Antiqua" w:eastAsia="Times New Roman" w:hAnsi="Book Antiqua" w:cs="Times New Roman"/>
          <w:b/>
          <w:lang w:eastAsia="de-DE"/>
        </w:rPr>
        <w:t>©</w:t>
      </w:r>
      <w:r>
        <w:rPr>
          <w:rFonts w:ascii="Book Antiqua" w:eastAsia="Times New Roman" w:hAnsi="Book Antiqua" w:cs="Times New Roman"/>
          <w:lang w:eastAsia="de-DE"/>
        </w:rPr>
        <w:t xml:space="preserve">     Kanzlei Michaelis Rechtsanwälte     Glockengießerwall 2      20095 Hamburg</w:t>
      </w:r>
    </w:p>
    <w:sectPr w:rsidR="00BE03A7" w:rsidRPr="00ED2A01">
      <w:headerReference w:type="default" r:id="rId102"/>
      <w:footerReference w:type="default" r:id="rId10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9B" w:rsidRDefault="0005759B" w:rsidP="001818CF">
      <w:pPr>
        <w:spacing w:after="0" w:line="240" w:lineRule="auto"/>
      </w:pPr>
      <w:r>
        <w:separator/>
      </w:r>
    </w:p>
  </w:endnote>
  <w:endnote w:type="continuationSeparator" w:id="0">
    <w:p w:rsidR="0005759B" w:rsidRDefault="0005759B" w:rsidP="0018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970311"/>
      <w:docPartObj>
        <w:docPartGallery w:val="Page Numbers (Bottom of Page)"/>
        <w:docPartUnique/>
      </w:docPartObj>
    </w:sdtPr>
    <w:sdtContent>
      <w:p w:rsidR="00ED2A01" w:rsidRDefault="00ED2A01">
        <w:pPr>
          <w:pStyle w:val="Fuzeile"/>
          <w:jc w:val="right"/>
        </w:pPr>
        <w:r>
          <w:fldChar w:fldCharType="begin"/>
        </w:r>
        <w:r>
          <w:instrText>PAGE   \* MERGEFORMAT</w:instrText>
        </w:r>
        <w:r>
          <w:fldChar w:fldCharType="separate"/>
        </w:r>
        <w:r w:rsidR="00460BA5">
          <w:rPr>
            <w:noProof/>
          </w:rPr>
          <w:t>41</w:t>
        </w:r>
        <w:r>
          <w:fldChar w:fldCharType="end"/>
        </w:r>
      </w:p>
    </w:sdtContent>
  </w:sdt>
  <w:p w:rsidR="00ED2A01" w:rsidRDefault="00ED2A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9B" w:rsidRDefault="0005759B" w:rsidP="001818CF">
      <w:pPr>
        <w:spacing w:after="0" w:line="240" w:lineRule="auto"/>
      </w:pPr>
      <w:r>
        <w:separator/>
      </w:r>
    </w:p>
  </w:footnote>
  <w:footnote w:type="continuationSeparator" w:id="0">
    <w:p w:rsidR="0005759B" w:rsidRDefault="0005759B" w:rsidP="00181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01" w:rsidRDefault="00ED2A01" w:rsidP="002576C9">
    <w:pPr>
      <w:pStyle w:val="Kopfzeile"/>
      <w:jc w:val="center"/>
    </w:pPr>
    <w:r>
      <w:rPr>
        <w:noProof/>
        <w:lang w:eastAsia="de-DE"/>
      </w:rPr>
      <w:drawing>
        <wp:inline distT="0" distB="0" distL="0" distR="0" wp14:anchorId="0144F8AA" wp14:editId="4E0448FB">
          <wp:extent cx="2162175" cy="613007"/>
          <wp:effectExtent l="0" t="0" r="0" b="0"/>
          <wp:docPr id="1" name="Grafik 1" descr="cid:image001.jpg@01D24FD5.F022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4FD5.F022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3713" cy="619113"/>
                  </a:xfrm>
                  <a:prstGeom prst="rect">
                    <a:avLst/>
                  </a:prstGeom>
                  <a:noFill/>
                  <a:ln>
                    <a:noFill/>
                  </a:ln>
                </pic:spPr>
              </pic:pic>
            </a:graphicData>
          </a:graphic>
        </wp:inline>
      </w:drawing>
    </w:r>
  </w:p>
  <w:p w:rsidR="00ED2A01" w:rsidRDefault="00ED2A0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135"/>
    <w:multiLevelType w:val="hybridMultilevel"/>
    <w:tmpl w:val="51C43326"/>
    <w:lvl w:ilvl="0" w:tplc="3FD4097C">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
    <w:nsid w:val="0E2848C5"/>
    <w:multiLevelType w:val="multilevel"/>
    <w:tmpl w:val="E75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30540"/>
    <w:multiLevelType w:val="hybridMultilevel"/>
    <w:tmpl w:val="1F6E29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F03652C"/>
    <w:multiLevelType w:val="hybridMultilevel"/>
    <w:tmpl w:val="55145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92F2BE5"/>
    <w:multiLevelType w:val="hybridMultilevel"/>
    <w:tmpl w:val="FB6266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7E75A44"/>
    <w:multiLevelType w:val="hybridMultilevel"/>
    <w:tmpl w:val="D08896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BA604BD"/>
    <w:multiLevelType w:val="hybridMultilevel"/>
    <w:tmpl w:val="58926C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10E518A"/>
    <w:multiLevelType w:val="hybridMultilevel"/>
    <w:tmpl w:val="B1324B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CA7108A"/>
    <w:multiLevelType w:val="hybridMultilevel"/>
    <w:tmpl w:val="43FED4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CF71BD9"/>
    <w:multiLevelType w:val="hybridMultilevel"/>
    <w:tmpl w:val="F70AE6A6"/>
    <w:lvl w:ilvl="0" w:tplc="5B88DD8C">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0">
    <w:nsid w:val="6E0F75AB"/>
    <w:multiLevelType w:val="hybridMultilevel"/>
    <w:tmpl w:val="650038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F843B93"/>
    <w:multiLevelType w:val="hybridMultilevel"/>
    <w:tmpl w:val="0DACF1FA"/>
    <w:lvl w:ilvl="0" w:tplc="89FE744E">
      <w:start w:val="1"/>
      <w:numFmt w:val="upperRoman"/>
      <w:lvlText w:val="%1."/>
      <w:lvlJc w:val="left"/>
      <w:pPr>
        <w:ind w:left="1080" w:hanging="720"/>
      </w:pPr>
      <w:rPr>
        <w:rFonts w:hint="default"/>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8"/>
  </w:num>
  <w:num w:numId="5">
    <w:abstractNumId w:val="3"/>
  </w:num>
  <w:num w:numId="6">
    <w:abstractNumId w:val="5"/>
  </w:num>
  <w:num w:numId="7">
    <w:abstractNumId w:val="1"/>
  </w:num>
  <w:num w:numId="8">
    <w:abstractNumId w:val="6"/>
  </w:num>
  <w:num w:numId="9">
    <w:abstractNumId w:val="2"/>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2F"/>
    <w:rsid w:val="000031BD"/>
    <w:rsid w:val="000122FB"/>
    <w:rsid w:val="00013903"/>
    <w:rsid w:val="00024179"/>
    <w:rsid w:val="00044442"/>
    <w:rsid w:val="0005759B"/>
    <w:rsid w:val="00065858"/>
    <w:rsid w:val="000E7DD0"/>
    <w:rsid w:val="001048C1"/>
    <w:rsid w:val="0010647A"/>
    <w:rsid w:val="001274BB"/>
    <w:rsid w:val="00135086"/>
    <w:rsid w:val="00167B1F"/>
    <w:rsid w:val="0017198D"/>
    <w:rsid w:val="001818CF"/>
    <w:rsid w:val="0019499A"/>
    <w:rsid w:val="001A78AA"/>
    <w:rsid w:val="001B30EA"/>
    <w:rsid w:val="00205D49"/>
    <w:rsid w:val="00221391"/>
    <w:rsid w:val="002422AF"/>
    <w:rsid w:val="00246922"/>
    <w:rsid w:val="002576C9"/>
    <w:rsid w:val="00267512"/>
    <w:rsid w:val="002755B1"/>
    <w:rsid w:val="002C61D9"/>
    <w:rsid w:val="002D1E5A"/>
    <w:rsid w:val="0031672E"/>
    <w:rsid w:val="00365932"/>
    <w:rsid w:val="0038541A"/>
    <w:rsid w:val="00387A3E"/>
    <w:rsid w:val="003A4980"/>
    <w:rsid w:val="003B36DF"/>
    <w:rsid w:val="003D249F"/>
    <w:rsid w:val="00401BD8"/>
    <w:rsid w:val="00432686"/>
    <w:rsid w:val="00460BA5"/>
    <w:rsid w:val="00472B61"/>
    <w:rsid w:val="004C1872"/>
    <w:rsid w:val="004F2937"/>
    <w:rsid w:val="00545ED7"/>
    <w:rsid w:val="00551653"/>
    <w:rsid w:val="00573E04"/>
    <w:rsid w:val="005812C1"/>
    <w:rsid w:val="005B2321"/>
    <w:rsid w:val="005C270F"/>
    <w:rsid w:val="005D51C8"/>
    <w:rsid w:val="005E599B"/>
    <w:rsid w:val="005F672E"/>
    <w:rsid w:val="00615BE4"/>
    <w:rsid w:val="006B4829"/>
    <w:rsid w:val="006B78D4"/>
    <w:rsid w:val="006C0577"/>
    <w:rsid w:val="006D28F5"/>
    <w:rsid w:val="0070102F"/>
    <w:rsid w:val="0070246A"/>
    <w:rsid w:val="007518F4"/>
    <w:rsid w:val="007C4DB1"/>
    <w:rsid w:val="007C4E0D"/>
    <w:rsid w:val="007C51F2"/>
    <w:rsid w:val="007C6F6A"/>
    <w:rsid w:val="00835987"/>
    <w:rsid w:val="00882676"/>
    <w:rsid w:val="00892ECE"/>
    <w:rsid w:val="008A4AA8"/>
    <w:rsid w:val="00901BB6"/>
    <w:rsid w:val="00934290"/>
    <w:rsid w:val="0094444A"/>
    <w:rsid w:val="009A0914"/>
    <w:rsid w:val="009C408A"/>
    <w:rsid w:val="00A20D50"/>
    <w:rsid w:val="00A3403D"/>
    <w:rsid w:val="00A54B10"/>
    <w:rsid w:val="00A63D9B"/>
    <w:rsid w:val="00B0043D"/>
    <w:rsid w:val="00B02CE7"/>
    <w:rsid w:val="00BE03A7"/>
    <w:rsid w:val="00C059B7"/>
    <w:rsid w:val="00C519BA"/>
    <w:rsid w:val="00CD4342"/>
    <w:rsid w:val="00D01C7F"/>
    <w:rsid w:val="00D21909"/>
    <w:rsid w:val="00D325DB"/>
    <w:rsid w:val="00D83035"/>
    <w:rsid w:val="00DA161F"/>
    <w:rsid w:val="00DB60CD"/>
    <w:rsid w:val="00DE1028"/>
    <w:rsid w:val="00E122E8"/>
    <w:rsid w:val="00E6299A"/>
    <w:rsid w:val="00E74740"/>
    <w:rsid w:val="00E833DA"/>
    <w:rsid w:val="00E84209"/>
    <w:rsid w:val="00E8448D"/>
    <w:rsid w:val="00E92740"/>
    <w:rsid w:val="00E94B9E"/>
    <w:rsid w:val="00EA769E"/>
    <w:rsid w:val="00EC7013"/>
    <w:rsid w:val="00ED2A01"/>
    <w:rsid w:val="00F02C24"/>
    <w:rsid w:val="00F61E1E"/>
    <w:rsid w:val="00F8365B"/>
    <w:rsid w:val="00FC04EA"/>
    <w:rsid w:val="00FF3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102F"/>
    <w:pPr>
      <w:spacing w:after="160" w:line="259" w:lineRule="auto"/>
    </w:pPr>
  </w:style>
  <w:style w:type="paragraph" w:styleId="berschrift1">
    <w:name w:val="heading 1"/>
    <w:basedOn w:val="Standard"/>
    <w:next w:val="Standard"/>
    <w:link w:val="berschrift1Zchn"/>
    <w:uiPriority w:val="9"/>
    <w:qFormat/>
    <w:rsid w:val="00701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102F"/>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70102F"/>
    <w:pPr>
      <w:spacing w:before="240"/>
      <w:outlineLvl w:val="9"/>
    </w:pPr>
    <w:rPr>
      <w:b w:val="0"/>
      <w:bCs w:val="0"/>
      <w:sz w:val="32"/>
      <w:szCs w:val="32"/>
      <w:lang w:eastAsia="de-DE"/>
    </w:rPr>
  </w:style>
  <w:style w:type="paragraph" w:styleId="Listenabsatz">
    <w:name w:val="List Paragraph"/>
    <w:basedOn w:val="Standard"/>
    <w:link w:val="ListenabsatzZchn"/>
    <w:uiPriority w:val="34"/>
    <w:qFormat/>
    <w:rsid w:val="0070102F"/>
    <w:pPr>
      <w:ind w:left="720"/>
      <w:contextualSpacing/>
    </w:pPr>
  </w:style>
  <w:style w:type="character" w:styleId="Hyperlink">
    <w:name w:val="Hyperlink"/>
    <w:basedOn w:val="Absatz-Standardschriftart"/>
    <w:uiPriority w:val="99"/>
    <w:unhideWhenUsed/>
    <w:rsid w:val="0070102F"/>
    <w:rPr>
      <w:color w:val="0000FF" w:themeColor="hyperlink"/>
      <w:u w:val="single"/>
    </w:rPr>
  </w:style>
  <w:style w:type="character" w:customStyle="1" w:styleId="ListenabsatzZchn">
    <w:name w:val="Listenabsatz Zchn"/>
    <w:basedOn w:val="Absatz-Standardschriftart"/>
    <w:link w:val="Listenabsatz"/>
    <w:uiPriority w:val="34"/>
    <w:rsid w:val="0070102F"/>
  </w:style>
  <w:style w:type="paragraph" w:styleId="Sprechblasentext">
    <w:name w:val="Balloon Text"/>
    <w:basedOn w:val="Standard"/>
    <w:link w:val="SprechblasentextZchn"/>
    <w:uiPriority w:val="99"/>
    <w:semiHidden/>
    <w:unhideWhenUsed/>
    <w:rsid w:val="007010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02F"/>
    <w:rPr>
      <w:rFonts w:ascii="Tahoma" w:hAnsi="Tahoma" w:cs="Tahoma"/>
      <w:sz w:val="16"/>
      <w:szCs w:val="16"/>
    </w:rPr>
  </w:style>
  <w:style w:type="paragraph" w:styleId="Kopfzeile">
    <w:name w:val="header"/>
    <w:basedOn w:val="Standard"/>
    <w:link w:val="KopfzeileZchn"/>
    <w:uiPriority w:val="99"/>
    <w:unhideWhenUsed/>
    <w:rsid w:val="001818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18CF"/>
  </w:style>
  <w:style w:type="paragraph" w:styleId="Fuzeile">
    <w:name w:val="footer"/>
    <w:basedOn w:val="Standard"/>
    <w:link w:val="FuzeileZchn"/>
    <w:uiPriority w:val="99"/>
    <w:unhideWhenUsed/>
    <w:rsid w:val="001818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18CF"/>
  </w:style>
  <w:style w:type="numbering" w:customStyle="1" w:styleId="KeineListe1">
    <w:name w:val="Keine Liste1"/>
    <w:next w:val="KeineListe"/>
    <w:uiPriority w:val="99"/>
    <w:semiHidden/>
    <w:unhideWhenUsed/>
    <w:rsid w:val="00ED2A01"/>
  </w:style>
  <w:style w:type="table" w:customStyle="1" w:styleId="Tabellenraster1">
    <w:name w:val="Tabellenraster1"/>
    <w:basedOn w:val="NormaleTabelle"/>
    <w:next w:val="Tabellenraster"/>
    <w:uiPriority w:val="59"/>
    <w:rsid w:val="005E599B"/>
    <w:pPr>
      <w:spacing w:after="0" w:line="240" w:lineRule="auto"/>
    </w:pPr>
    <w:rPr>
      <w:rFonts w:eastAsia="MS Mincho"/>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5E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102F"/>
    <w:pPr>
      <w:spacing w:after="160" w:line="259" w:lineRule="auto"/>
    </w:pPr>
  </w:style>
  <w:style w:type="paragraph" w:styleId="berschrift1">
    <w:name w:val="heading 1"/>
    <w:basedOn w:val="Standard"/>
    <w:next w:val="Standard"/>
    <w:link w:val="berschrift1Zchn"/>
    <w:uiPriority w:val="9"/>
    <w:qFormat/>
    <w:rsid w:val="00701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102F"/>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70102F"/>
    <w:pPr>
      <w:spacing w:before="240"/>
      <w:outlineLvl w:val="9"/>
    </w:pPr>
    <w:rPr>
      <w:b w:val="0"/>
      <w:bCs w:val="0"/>
      <w:sz w:val="32"/>
      <w:szCs w:val="32"/>
      <w:lang w:eastAsia="de-DE"/>
    </w:rPr>
  </w:style>
  <w:style w:type="paragraph" w:styleId="Listenabsatz">
    <w:name w:val="List Paragraph"/>
    <w:basedOn w:val="Standard"/>
    <w:link w:val="ListenabsatzZchn"/>
    <w:uiPriority w:val="34"/>
    <w:qFormat/>
    <w:rsid w:val="0070102F"/>
    <w:pPr>
      <w:ind w:left="720"/>
      <w:contextualSpacing/>
    </w:pPr>
  </w:style>
  <w:style w:type="character" w:styleId="Hyperlink">
    <w:name w:val="Hyperlink"/>
    <w:basedOn w:val="Absatz-Standardschriftart"/>
    <w:uiPriority w:val="99"/>
    <w:unhideWhenUsed/>
    <w:rsid w:val="0070102F"/>
    <w:rPr>
      <w:color w:val="0000FF" w:themeColor="hyperlink"/>
      <w:u w:val="single"/>
    </w:rPr>
  </w:style>
  <w:style w:type="character" w:customStyle="1" w:styleId="ListenabsatzZchn">
    <w:name w:val="Listenabsatz Zchn"/>
    <w:basedOn w:val="Absatz-Standardschriftart"/>
    <w:link w:val="Listenabsatz"/>
    <w:uiPriority w:val="34"/>
    <w:rsid w:val="0070102F"/>
  </w:style>
  <w:style w:type="paragraph" w:styleId="Sprechblasentext">
    <w:name w:val="Balloon Text"/>
    <w:basedOn w:val="Standard"/>
    <w:link w:val="SprechblasentextZchn"/>
    <w:uiPriority w:val="99"/>
    <w:semiHidden/>
    <w:unhideWhenUsed/>
    <w:rsid w:val="007010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02F"/>
    <w:rPr>
      <w:rFonts w:ascii="Tahoma" w:hAnsi="Tahoma" w:cs="Tahoma"/>
      <w:sz w:val="16"/>
      <w:szCs w:val="16"/>
    </w:rPr>
  </w:style>
  <w:style w:type="paragraph" w:styleId="Kopfzeile">
    <w:name w:val="header"/>
    <w:basedOn w:val="Standard"/>
    <w:link w:val="KopfzeileZchn"/>
    <w:uiPriority w:val="99"/>
    <w:unhideWhenUsed/>
    <w:rsid w:val="001818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18CF"/>
  </w:style>
  <w:style w:type="paragraph" w:styleId="Fuzeile">
    <w:name w:val="footer"/>
    <w:basedOn w:val="Standard"/>
    <w:link w:val="FuzeileZchn"/>
    <w:uiPriority w:val="99"/>
    <w:unhideWhenUsed/>
    <w:rsid w:val="001818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18CF"/>
  </w:style>
  <w:style w:type="numbering" w:customStyle="1" w:styleId="KeineListe1">
    <w:name w:val="Keine Liste1"/>
    <w:next w:val="KeineListe"/>
    <w:uiPriority w:val="99"/>
    <w:semiHidden/>
    <w:unhideWhenUsed/>
    <w:rsid w:val="00ED2A01"/>
  </w:style>
  <w:style w:type="table" w:customStyle="1" w:styleId="Tabellenraster1">
    <w:name w:val="Tabellenraster1"/>
    <w:basedOn w:val="NormaleTabelle"/>
    <w:next w:val="Tabellenraster"/>
    <w:uiPriority w:val="59"/>
    <w:rsid w:val="005E599B"/>
    <w:pPr>
      <w:spacing w:after="0" w:line="240" w:lineRule="auto"/>
    </w:pPr>
    <w:rPr>
      <w:rFonts w:eastAsia="MS Mincho"/>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5E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uzer.de/gesetz/3982/a150062.htm" TargetMode="External"/><Relationship Id="rId21" Type="http://schemas.openxmlformats.org/officeDocument/2006/relationships/hyperlink" Target="http://www.buzer.de/gesetz/3982/index.htm" TargetMode="External"/><Relationship Id="rId42" Type="http://schemas.openxmlformats.org/officeDocument/2006/relationships/hyperlink" Target="https://dejure.org/gesetze/BDSG/28.html" TargetMode="External"/><Relationship Id="rId47" Type="http://schemas.openxmlformats.org/officeDocument/2006/relationships/hyperlink" Target="https://dejure.org/gesetze/BDSG/29.html" TargetMode="External"/><Relationship Id="rId63" Type="http://schemas.openxmlformats.org/officeDocument/2006/relationships/hyperlink" Target="https://dejure.org/gesetze/BDSG/39.html" TargetMode="External"/><Relationship Id="rId68" Type="http://schemas.openxmlformats.org/officeDocument/2006/relationships/hyperlink" Target="https://dejure.org/gesetze/BDSG/30a.html" TargetMode="External"/><Relationship Id="rId84" Type="http://schemas.openxmlformats.org/officeDocument/2006/relationships/hyperlink" Target="https://dejure.org/gesetze/EGBGB/246a.html" TargetMode="External"/><Relationship Id="rId89" Type="http://schemas.openxmlformats.org/officeDocument/2006/relationships/hyperlink" Target="https://dejure.org/gesetze/VVG/62.html" TargetMode="External"/><Relationship Id="rId7" Type="http://schemas.openxmlformats.org/officeDocument/2006/relationships/footnotes" Target="footnotes.xml"/><Relationship Id="rId71" Type="http://schemas.openxmlformats.org/officeDocument/2006/relationships/hyperlink" Target="https://dejure.org/gesetze/BDSG/43.html" TargetMode="External"/><Relationship Id="rId92" Type="http://schemas.openxmlformats.org/officeDocument/2006/relationships/hyperlink" Target="https://dejure.org/gesetze/VVG/61.html" TargetMode="External"/><Relationship Id="rId2" Type="http://schemas.openxmlformats.org/officeDocument/2006/relationships/numbering" Target="numbering.xml"/><Relationship Id="rId16" Type="http://schemas.openxmlformats.org/officeDocument/2006/relationships/hyperlink" Target="http://www.buzer.de/gesetz/3982/a148193.htm" TargetMode="External"/><Relationship Id="rId29" Type="http://schemas.openxmlformats.org/officeDocument/2006/relationships/hyperlink" Target="http://eur-lex.europa.eu/legal-content/DE/TXT/?uri=celex:31992L0051&amp;locale=de" TargetMode="External"/><Relationship Id="rId11" Type="http://schemas.openxmlformats.org/officeDocument/2006/relationships/hyperlink" Target="http://www.versicherungsombudsmann.de/" TargetMode="External"/><Relationship Id="rId24" Type="http://schemas.openxmlformats.org/officeDocument/2006/relationships/hyperlink" Target="http://www.buzer.de/gesetz/3982/a148193.htm" TargetMode="External"/><Relationship Id="rId32" Type="http://schemas.openxmlformats.org/officeDocument/2006/relationships/hyperlink" Target="https://dejure.org/gesetze/UStG/27a.html" TargetMode="External"/><Relationship Id="rId37" Type="http://schemas.openxmlformats.org/officeDocument/2006/relationships/hyperlink" Target="https://dejure.org/gesetze/BDSG/10.html" TargetMode="External"/><Relationship Id="rId40" Type="http://schemas.openxmlformats.org/officeDocument/2006/relationships/hyperlink" Target="https://dejure.org/gesetze/BDSG/28.html" TargetMode="External"/><Relationship Id="rId45" Type="http://schemas.openxmlformats.org/officeDocument/2006/relationships/hyperlink" Target="https://dejure.org/gesetze/BDSG/29.html" TargetMode="External"/><Relationship Id="rId53" Type="http://schemas.openxmlformats.org/officeDocument/2006/relationships/hyperlink" Target="https://dejure.org/gesetze/BDSG/34.html" TargetMode="External"/><Relationship Id="rId58" Type="http://schemas.openxmlformats.org/officeDocument/2006/relationships/hyperlink" Target="https://dejure.org/gesetze/BDSG/38.html" TargetMode="External"/><Relationship Id="rId66" Type="http://schemas.openxmlformats.org/officeDocument/2006/relationships/hyperlink" Target="https://dejure.org/gesetze/BDSG/28.html" TargetMode="External"/><Relationship Id="rId74" Type="http://schemas.openxmlformats.org/officeDocument/2006/relationships/hyperlink" Target="https://dejure.org/gesetze/EGBGB/246a.html" TargetMode="External"/><Relationship Id="rId79" Type="http://schemas.openxmlformats.org/officeDocument/2006/relationships/hyperlink" Target="http://eur-lex.europa.eu/legal-content/DE/TXT/?uri=celex:31997L0007&amp;locale=de" TargetMode="External"/><Relationship Id="rId87" Type="http://schemas.openxmlformats.org/officeDocument/2006/relationships/hyperlink" Target="https://dejure.org/gesetze/VVG/210.html" TargetMode="External"/><Relationship Id="rId102"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dejure.org/gesetze/BDSG/28.html" TargetMode="External"/><Relationship Id="rId82" Type="http://schemas.openxmlformats.org/officeDocument/2006/relationships/hyperlink" Target="http://eur-lex.europa.eu/legal-content/DE/TXT/?uri=celex:32004R2006&amp;locale=de" TargetMode="External"/><Relationship Id="rId90" Type="http://schemas.openxmlformats.org/officeDocument/2006/relationships/hyperlink" Target="https://dejure.org/gesetze/VVG/63.html" TargetMode="External"/><Relationship Id="rId95" Type="http://schemas.openxmlformats.org/officeDocument/2006/relationships/hyperlink" Target="https://dejure.org/gesetze/TMG/6.html" TargetMode="External"/><Relationship Id="rId19" Type="http://schemas.openxmlformats.org/officeDocument/2006/relationships/hyperlink" Target="http://www.buzer.de/gesetz/3982/index.htm" TargetMode="External"/><Relationship Id="rId14" Type="http://schemas.openxmlformats.org/officeDocument/2006/relationships/hyperlink" Target="http://www.buzer.de/gesetz/3982/a148193.htm" TargetMode="External"/><Relationship Id="rId22" Type="http://schemas.openxmlformats.org/officeDocument/2006/relationships/hyperlink" Target="http://www.buzer.de/gesetz/3982/a148194.htm" TargetMode="External"/><Relationship Id="rId27" Type="http://schemas.openxmlformats.org/officeDocument/2006/relationships/hyperlink" Target="http://www.buzer.de/gesetz/3982/index.htm" TargetMode="External"/><Relationship Id="rId30" Type="http://schemas.openxmlformats.org/officeDocument/2006/relationships/hyperlink" Target="http://eur-lex.europa.eu/legal-content/DE/TXT/?uri=celex:31989L0048&amp;locale=de" TargetMode="External"/><Relationship Id="rId35" Type="http://schemas.openxmlformats.org/officeDocument/2006/relationships/hyperlink" Target="https://dejure.org/gesetze/BDSG/4e.html" TargetMode="External"/><Relationship Id="rId43" Type="http://schemas.openxmlformats.org/officeDocument/2006/relationships/hyperlink" Target="https://dejure.org/gesetze/BDSG/28a.html" TargetMode="External"/><Relationship Id="rId48" Type="http://schemas.openxmlformats.org/officeDocument/2006/relationships/hyperlink" Target="https://dejure.org/gesetze/BDSG/29.html" TargetMode="External"/><Relationship Id="rId56" Type="http://schemas.openxmlformats.org/officeDocument/2006/relationships/hyperlink" Target="https://dejure.org/gesetze/BDSG/34.html" TargetMode="External"/><Relationship Id="rId64" Type="http://schemas.openxmlformats.org/officeDocument/2006/relationships/hyperlink" Target="https://dejure.org/gesetze/BDSG/40.html" TargetMode="External"/><Relationship Id="rId69" Type="http://schemas.openxmlformats.org/officeDocument/2006/relationships/hyperlink" Target="https://dejure.org/gesetze/BDSG/40.html" TargetMode="External"/><Relationship Id="rId77" Type="http://schemas.openxmlformats.org/officeDocument/2006/relationships/hyperlink" Target="http://eur-lex.europa.eu/legal-content/DE/TXT/?uri=celex:32005L0029&amp;locale=de" TargetMode="External"/><Relationship Id="rId100" Type="http://schemas.openxmlformats.org/officeDocument/2006/relationships/hyperlink" Target="https://dejure.org/gesetze/UrhG/72.html"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ejure.org/gesetze/BDSG/34.html" TargetMode="External"/><Relationship Id="rId72" Type="http://schemas.openxmlformats.org/officeDocument/2006/relationships/hyperlink" Target="https://dejure.org/gesetze/EGBGB/246c.html" TargetMode="External"/><Relationship Id="rId80" Type="http://schemas.openxmlformats.org/officeDocument/2006/relationships/hyperlink" Target="http://eur-lex.europa.eu/legal-content/DE/TXT/?uri=celex:31998L0027&amp;locale=de" TargetMode="External"/><Relationship Id="rId85" Type="http://schemas.openxmlformats.org/officeDocument/2006/relationships/hyperlink" Target="https://dejure.org/gesetze/EGBGB/246b.html" TargetMode="External"/><Relationship Id="rId93" Type="http://schemas.openxmlformats.org/officeDocument/2006/relationships/hyperlink" Target="https://dejure.org/gesetze/VVG/60.html" TargetMode="External"/><Relationship Id="rId98" Type="http://schemas.openxmlformats.org/officeDocument/2006/relationships/hyperlink" Target="https://dejure.org/gesetze/BGB/13.html" TargetMode="External"/><Relationship Id="rId3" Type="http://schemas.openxmlformats.org/officeDocument/2006/relationships/styles" Target="styles.xml"/><Relationship Id="rId12" Type="http://schemas.openxmlformats.org/officeDocument/2006/relationships/hyperlink" Target="http://www.pkv-ombudsmann.de/" TargetMode="External"/><Relationship Id="rId17" Type="http://schemas.openxmlformats.org/officeDocument/2006/relationships/hyperlink" Target="http://www.buzer.de/gesetz/3982/index.htm" TargetMode="External"/><Relationship Id="rId25" Type="http://schemas.openxmlformats.org/officeDocument/2006/relationships/hyperlink" Target="http://www.buzer.de/gesetz/3982/index.htm" TargetMode="External"/><Relationship Id="rId33" Type="http://schemas.openxmlformats.org/officeDocument/2006/relationships/hyperlink" Target="https://dejure.org/gesetze/AO/139c.html" TargetMode="External"/><Relationship Id="rId38" Type="http://schemas.openxmlformats.org/officeDocument/2006/relationships/hyperlink" Target="https://dejure.org/gesetze/BDSG/11.html" TargetMode="External"/><Relationship Id="rId46" Type="http://schemas.openxmlformats.org/officeDocument/2006/relationships/hyperlink" Target="https://dejure.org/gesetze/BDSG/29.html" TargetMode="External"/><Relationship Id="rId59" Type="http://schemas.openxmlformats.org/officeDocument/2006/relationships/hyperlink" Target="https://dejure.org/gesetze/BDSG/38.html" TargetMode="External"/><Relationship Id="rId67" Type="http://schemas.openxmlformats.org/officeDocument/2006/relationships/hyperlink" Target="https://dejure.org/gesetze/BDSG/30.html" TargetMode="External"/><Relationship Id="rId103" Type="http://schemas.openxmlformats.org/officeDocument/2006/relationships/footer" Target="footer1.xml"/><Relationship Id="rId20" Type="http://schemas.openxmlformats.org/officeDocument/2006/relationships/hyperlink" Target="http://www.buzer.de/gesetz/3982/a148193.htm" TargetMode="External"/><Relationship Id="rId41" Type="http://schemas.openxmlformats.org/officeDocument/2006/relationships/hyperlink" Target="https://dejure.org/gesetze/BDSG/28.html" TargetMode="External"/><Relationship Id="rId54" Type="http://schemas.openxmlformats.org/officeDocument/2006/relationships/hyperlink" Target="https://dejure.org/gesetze/BDSG/34.html" TargetMode="External"/><Relationship Id="rId62" Type="http://schemas.openxmlformats.org/officeDocument/2006/relationships/hyperlink" Target="https://dejure.org/gesetze/BDSG/29.html" TargetMode="External"/><Relationship Id="rId70" Type="http://schemas.openxmlformats.org/officeDocument/2006/relationships/hyperlink" Target="https://dejure.org/gesetze/BDSG/42a.html" TargetMode="External"/><Relationship Id="rId75" Type="http://schemas.openxmlformats.org/officeDocument/2006/relationships/hyperlink" Target="https://dejure.org/gesetze/BGB/312i.html" TargetMode="External"/><Relationship Id="rId83" Type="http://schemas.openxmlformats.org/officeDocument/2006/relationships/hyperlink" Target="https://dejure.org/gesetze/EGBGB/246a.html" TargetMode="External"/><Relationship Id="rId88" Type="http://schemas.openxmlformats.org/officeDocument/2006/relationships/hyperlink" Target="https://dejure.org/gesetze/BGB/312c.html" TargetMode="External"/><Relationship Id="rId91" Type="http://schemas.openxmlformats.org/officeDocument/2006/relationships/hyperlink" Target="https://dejure.org/gesetze/VVG/60.html" TargetMode="External"/><Relationship Id="rId96" Type="http://schemas.openxmlformats.org/officeDocument/2006/relationships/hyperlink" Target="https://dejure.org/gesetze/ZPO/935.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uzer.de/gesetz/3982/index.htm" TargetMode="External"/><Relationship Id="rId23" Type="http://schemas.openxmlformats.org/officeDocument/2006/relationships/hyperlink" Target="http://www.buzer.de/gesetz/3982/index.htm" TargetMode="External"/><Relationship Id="rId28" Type="http://schemas.openxmlformats.org/officeDocument/2006/relationships/hyperlink" Target="http://eur-lex.europa.eu/legal-content/DE/TXT/?uri=celex:31989L0048&amp;locale=de" TargetMode="External"/><Relationship Id="rId36" Type="http://schemas.openxmlformats.org/officeDocument/2006/relationships/hyperlink" Target="https://dejure.org/gesetze/BDSG/4f.html" TargetMode="External"/><Relationship Id="rId49" Type="http://schemas.openxmlformats.org/officeDocument/2006/relationships/hyperlink" Target="https://dejure.org/gesetze/BDSG/33.html" TargetMode="External"/><Relationship Id="rId57" Type="http://schemas.openxmlformats.org/officeDocument/2006/relationships/hyperlink" Target="https://dejure.org/gesetze/BDSG/35.html" TargetMode="External"/><Relationship Id="rId10" Type="http://schemas.openxmlformats.org/officeDocument/2006/relationships/hyperlink" Target="http://www.vermittlerregister.org/" TargetMode="External"/><Relationship Id="rId31" Type="http://schemas.openxmlformats.org/officeDocument/2006/relationships/hyperlink" Target="http://eur-lex.europa.eu/legal-content/DE/TXT/?uri=celex:31997L0038&amp;locale=de" TargetMode="External"/><Relationship Id="rId44" Type="http://schemas.openxmlformats.org/officeDocument/2006/relationships/hyperlink" Target="https://dejure.org/gesetze/BDSG/29.html" TargetMode="External"/><Relationship Id="rId52" Type="http://schemas.openxmlformats.org/officeDocument/2006/relationships/hyperlink" Target="https://dejure.org/gesetze/BDSG/34.html" TargetMode="External"/><Relationship Id="rId60" Type="http://schemas.openxmlformats.org/officeDocument/2006/relationships/hyperlink" Target="https://dejure.org/gesetze/BDSG/16.html" TargetMode="External"/><Relationship Id="rId65" Type="http://schemas.openxmlformats.org/officeDocument/2006/relationships/hyperlink" Target="https://dejure.org/gesetze/BDSG/28.html" TargetMode="External"/><Relationship Id="rId73" Type="http://schemas.openxmlformats.org/officeDocument/2006/relationships/hyperlink" Target="https://dejure.org/gesetze/BGB/312i.html" TargetMode="External"/><Relationship Id="rId78" Type="http://schemas.openxmlformats.org/officeDocument/2006/relationships/hyperlink" Target="http://eur-lex.europa.eu/legal-content/DE/TXT/?uri=celex:31984L0450&amp;locale=de" TargetMode="External"/><Relationship Id="rId81" Type="http://schemas.openxmlformats.org/officeDocument/2006/relationships/hyperlink" Target="http://eur-lex.europa.eu/legal-content/DE/TXT/?uri=celex:32002L0065&amp;locale=de" TargetMode="External"/><Relationship Id="rId86" Type="http://schemas.openxmlformats.org/officeDocument/2006/relationships/hyperlink" Target="https://dejure.org/gesetze/BGB/355.html" TargetMode="External"/><Relationship Id="rId94" Type="http://schemas.openxmlformats.org/officeDocument/2006/relationships/hyperlink" Target="https://dejure.org/gesetze/VVG/61.html" TargetMode="External"/><Relationship Id="rId99" Type="http://schemas.openxmlformats.org/officeDocument/2006/relationships/hyperlink" Target="https://dejure.org/gesetze/UrhG/70.html" TargetMode="External"/><Relationship Id="rId101" Type="http://schemas.openxmlformats.org/officeDocument/2006/relationships/hyperlink" Target="https://dejure.org/gesetze/UrhG/73.html" TargetMode="External"/><Relationship Id="rId4" Type="http://schemas.microsoft.com/office/2007/relationships/stylesWithEffects" Target="stylesWithEffects.xml"/><Relationship Id="rId9" Type="http://schemas.openxmlformats.org/officeDocument/2006/relationships/hyperlink" Target="http://www.aon.com/germany/ueber-aon/kontakt.jsp" TargetMode="External"/><Relationship Id="rId13" Type="http://schemas.openxmlformats.org/officeDocument/2006/relationships/hyperlink" Target="http://www.appriori.de" TargetMode="External"/><Relationship Id="rId18" Type="http://schemas.openxmlformats.org/officeDocument/2006/relationships/hyperlink" Target="http://www.buzer.de/gesetz/3982/a148193.htm" TargetMode="External"/><Relationship Id="rId39" Type="http://schemas.openxmlformats.org/officeDocument/2006/relationships/hyperlink" Target="https://dejure.org/gesetze/BDSG/11.html" TargetMode="External"/><Relationship Id="rId34" Type="http://schemas.openxmlformats.org/officeDocument/2006/relationships/hyperlink" Target="https://dejure.org/gesetze/BDSG/4d.html" TargetMode="External"/><Relationship Id="rId50" Type="http://schemas.openxmlformats.org/officeDocument/2006/relationships/hyperlink" Target="https://dejure.org/gesetze/BDSG/34.html" TargetMode="External"/><Relationship Id="rId55" Type="http://schemas.openxmlformats.org/officeDocument/2006/relationships/hyperlink" Target="https://dejure.org/gesetze/BDSG/34.html" TargetMode="External"/><Relationship Id="rId76" Type="http://schemas.openxmlformats.org/officeDocument/2006/relationships/hyperlink" Target="https://dejure.org/gesetze/BGB/312d.html" TargetMode="External"/><Relationship Id="rId97" Type="http://schemas.openxmlformats.org/officeDocument/2006/relationships/hyperlink" Target="https://dejure.org/gesetze/ZPO/940.html" TargetMode="Externa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24FD5.F0221700"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E7027-471D-49AC-975D-A8BA6578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12868</Words>
  <Characters>81075</Characters>
  <Application>Microsoft Office Word</Application>
  <DocSecurity>0</DocSecurity>
  <Lines>675</Lines>
  <Paragraphs>187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Kanzlei Michaelis - Julia Seebacher</dc:creator>
  <cp:lastModifiedBy>Kanzlei Michaelis - Stephan Michaelis</cp:lastModifiedBy>
  <cp:revision>12</cp:revision>
  <cp:lastPrinted>2016-12-19T08:05:00Z</cp:lastPrinted>
  <dcterms:created xsi:type="dcterms:W3CDTF">2016-12-28T15:10:00Z</dcterms:created>
  <dcterms:modified xsi:type="dcterms:W3CDTF">2016-12-28T17:00:00Z</dcterms:modified>
</cp:coreProperties>
</file>