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3"/>
        <w:gridCol w:w="2268"/>
        <w:gridCol w:w="850"/>
        <w:gridCol w:w="2268"/>
      </w:tblGrid>
      <w:tr w:rsidR="009B5166" w:rsidTr="006B3261">
        <w:tc>
          <w:tcPr>
            <w:tcW w:w="4323" w:type="dxa"/>
          </w:tcPr>
          <w:p w:rsidR="009B5166" w:rsidRPr="006B3261" w:rsidRDefault="009B5166">
            <w:pPr>
              <w:rPr>
                <w:rFonts w:ascii="Arial" w:hAnsi="Arial"/>
                <w:color w:val="0070C0"/>
              </w:rPr>
            </w:pPr>
          </w:p>
        </w:tc>
        <w:tc>
          <w:tcPr>
            <w:tcW w:w="2268" w:type="dxa"/>
          </w:tcPr>
          <w:p w:rsidR="009B5166" w:rsidRPr="006B3261" w:rsidRDefault="009B5166">
            <w:pPr>
              <w:rPr>
                <w:rFonts w:ascii="Arial" w:hAnsi="Arial"/>
                <w:color w:val="0070C0"/>
              </w:rPr>
            </w:pPr>
          </w:p>
        </w:tc>
        <w:tc>
          <w:tcPr>
            <w:tcW w:w="3118" w:type="dxa"/>
            <w:gridSpan w:val="2"/>
          </w:tcPr>
          <w:p w:rsidR="009B5166" w:rsidRPr="006B3261" w:rsidRDefault="003215DC">
            <w:pPr>
              <w:jc w:val="left"/>
              <w:rPr>
                <w:rFonts w:ascii="Arial" w:hAnsi="Arial"/>
                <w:b/>
                <w:color w:val="0070C0"/>
                <w:sz w:val="20"/>
              </w:rPr>
            </w:pPr>
            <w:r>
              <w:rPr>
                <w:rFonts w:ascii="Arial" w:hAnsi="Arial"/>
                <w:noProof/>
                <w:color w:val="0070C0"/>
              </w:rPr>
              <w:drawing>
                <wp:inline distT="0" distB="0" distL="0" distR="0" wp14:anchorId="3ED08FC9" wp14:editId="6228F958">
                  <wp:extent cx="1808480" cy="416560"/>
                  <wp:effectExtent l="0" t="0" r="1270" b="2540"/>
                  <wp:docPr id="1" name="Bild 1" descr="Logo_VdPB_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dPB_indizie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8480" cy="416560"/>
                          </a:xfrm>
                          <a:prstGeom prst="rect">
                            <a:avLst/>
                          </a:prstGeom>
                          <a:noFill/>
                          <a:ln>
                            <a:noFill/>
                          </a:ln>
                        </pic:spPr>
                      </pic:pic>
                    </a:graphicData>
                  </a:graphic>
                </wp:inline>
              </w:drawing>
            </w:r>
          </w:p>
        </w:tc>
      </w:tr>
      <w:tr w:rsidR="009B5166" w:rsidTr="00002DA4">
        <w:tc>
          <w:tcPr>
            <w:tcW w:w="4323" w:type="dxa"/>
          </w:tcPr>
          <w:p w:rsidR="009B5166" w:rsidRPr="006B3261" w:rsidRDefault="009B5166">
            <w:pPr>
              <w:rPr>
                <w:rFonts w:ascii="Arial" w:hAnsi="Arial"/>
                <w:color w:val="0070C0"/>
              </w:rPr>
            </w:pPr>
          </w:p>
        </w:tc>
        <w:tc>
          <w:tcPr>
            <w:tcW w:w="3118" w:type="dxa"/>
            <w:gridSpan w:val="2"/>
          </w:tcPr>
          <w:p w:rsidR="009B5166" w:rsidRPr="006B3261" w:rsidRDefault="009B5166">
            <w:pPr>
              <w:rPr>
                <w:rFonts w:ascii="Arial" w:hAnsi="Arial"/>
                <w:color w:val="0070C0"/>
              </w:rPr>
            </w:pPr>
          </w:p>
        </w:tc>
        <w:tc>
          <w:tcPr>
            <w:tcW w:w="2268" w:type="dxa"/>
          </w:tcPr>
          <w:p w:rsidR="009B5166" w:rsidRPr="006B3261" w:rsidRDefault="00BB15D4">
            <w:pPr>
              <w:rPr>
                <w:rFonts w:ascii="Arial" w:hAnsi="Arial"/>
                <w:color w:val="0070C0"/>
                <w:sz w:val="16"/>
              </w:rPr>
            </w:pPr>
            <w:r>
              <w:rPr>
                <w:rFonts w:ascii="Arial" w:hAnsi="Arial"/>
                <w:color w:val="0070C0"/>
                <w:sz w:val="16"/>
              </w:rPr>
              <w:br/>
            </w:r>
            <w:proofErr w:type="spellStart"/>
            <w:r w:rsidR="009B5166" w:rsidRPr="006B3261">
              <w:rPr>
                <w:rFonts w:ascii="Arial" w:hAnsi="Arial"/>
                <w:color w:val="0070C0"/>
                <w:sz w:val="16"/>
              </w:rPr>
              <w:t>Klingelhöferstraße</w:t>
            </w:r>
            <w:proofErr w:type="spellEnd"/>
            <w:r w:rsidR="009B5166" w:rsidRPr="006B3261">
              <w:rPr>
                <w:rFonts w:ascii="Arial" w:hAnsi="Arial"/>
                <w:color w:val="0070C0"/>
                <w:sz w:val="16"/>
              </w:rPr>
              <w:t xml:space="preserve"> 4</w:t>
            </w:r>
          </w:p>
          <w:p w:rsidR="009B5166" w:rsidRPr="006B3261" w:rsidRDefault="009B5166">
            <w:pPr>
              <w:rPr>
                <w:rFonts w:ascii="Arial" w:hAnsi="Arial"/>
                <w:color w:val="0070C0"/>
                <w:sz w:val="16"/>
              </w:rPr>
            </w:pPr>
            <w:r w:rsidRPr="006B3261">
              <w:rPr>
                <w:rFonts w:ascii="Arial" w:hAnsi="Arial"/>
                <w:color w:val="0070C0"/>
                <w:sz w:val="16"/>
              </w:rPr>
              <w:t>10785 Berlin</w:t>
            </w:r>
          </w:p>
          <w:p w:rsidR="009B5166" w:rsidRPr="006B3261" w:rsidRDefault="009B5166">
            <w:pPr>
              <w:rPr>
                <w:rFonts w:ascii="Arial" w:hAnsi="Arial"/>
                <w:color w:val="0070C0"/>
                <w:sz w:val="16"/>
              </w:rPr>
            </w:pPr>
          </w:p>
        </w:tc>
      </w:tr>
      <w:tr w:rsidR="006B3261" w:rsidTr="00002DA4">
        <w:tc>
          <w:tcPr>
            <w:tcW w:w="4323" w:type="dxa"/>
          </w:tcPr>
          <w:p w:rsidR="006B3261" w:rsidRPr="006B3261" w:rsidRDefault="006B3261">
            <w:pPr>
              <w:rPr>
                <w:rFonts w:ascii="Arial" w:hAnsi="Arial"/>
                <w:color w:val="0070C0"/>
              </w:rPr>
            </w:pPr>
            <w:r w:rsidRPr="006B3261">
              <w:rPr>
                <w:rFonts w:ascii="Arial" w:hAnsi="Arial"/>
                <w:color w:val="0070C0"/>
              </w:rPr>
              <w:t>Pressemeldung</w:t>
            </w:r>
          </w:p>
        </w:tc>
        <w:tc>
          <w:tcPr>
            <w:tcW w:w="3118" w:type="dxa"/>
            <w:gridSpan w:val="2"/>
          </w:tcPr>
          <w:p w:rsidR="006B3261" w:rsidRPr="006B3261" w:rsidRDefault="005E3611" w:rsidP="006917CB">
            <w:pPr>
              <w:rPr>
                <w:rFonts w:ascii="Arial" w:hAnsi="Arial"/>
                <w:color w:val="0070C0"/>
              </w:rPr>
            </w:pPr>
            <w:r>
              <w:rPr>
                <w:rFonts w:ascii="Arial" w:hAnsi="Arial"/>
                <w:color w:val="0070C0"/>
              </w:rPr>
              <w:t xml:space="preserve">Berlin, </w:t>
            </w:r>
            <w:r w:rsidR="009C4695">
              <w:rPr>
                <w:rFonts w:ascii="Arial" w:hAnsi="Arial"/>
                <w:color w:val="0070C0"/>
              </w:rPr>
              <w:t>2</w:t>
            </w:r>
            <w:r w:rsidR="006917CB">
              <w:rPr>
                <w:rFonts w:ascii="Arial" w:hAnsi="Arial"/>
                <w:color w:val="0070C0"/>
              </w:rPr>
              <w:t>6</w:t>
            </w:r>
            <w:bookmarkStart w:id="0" w:name="_GoBack"/>
            <w:bookmarkEnd w:id="0"/>
            <w:r>
              <w:rPr>
                <w:rFonts w:ascii="Arial" w:hAnsi="Arial"/>
                <w:color w:val="0070C0"/>
              </w:rPr>
              <w:t xml:space="preserve">. </w:t>
            </w:r>
            <w:r w:rsidR="00D57421">
              <w:rPr>
                <w:rFonts w:ascii="Arial" w:hAnsi="Arial"/>
                <w:color w:val="0070C0"/>
              </w:rPr>
              <w:t>April</w:t>
            </w:r>
            <w:r>
              <w:rPr>
                <w:rFonts w:ascii="Arial" w:hAnsi="Arial"/>
                <w:color w:val="0070C0"/>
              </w:rPr>
              <w:t xml:space="preserve"> 2016</w:t>
            </w:r>
          </w:p>
        </w:tc>
        <w:tc>
          <w:tcPr>
            <w:tcW w:w="2268" w:type="dxa"/>
          </w:tcPr>
          <w:p w:rsidR="006B3261" w:rsidRPr="006B3261" w:rsidRDefault="006B3261" w:rsidP="00300C05">
            <w:pPr>
              <w:rPr>
                <w:rFonts w:ascii="Arial" w:hAnsi="Arial"/>
                <w:color w:val="0070C0"/>
                <w:sz w:val="16"/>
              </w:rPr>
            </w:pPr>
            <w:r w:rsidRPr="006B3261">
              <w:rPr>
                <w:rFonts w:ascii="Arial" w:hAnsi="Arial"/>
                <w:color w:val="0070C0"/>
                <w:sz w:val="16"/>
              </w:rPr>
              <w:t>Verantwortlich:</w:t>
            </w:r>
          </w:p>
          <w:p w:rsidR="006B3261" w:rsidRPr="006B3261" w:rsidRDefault="006B3261" w:rsidP="00300C05">
            <w:pPr>
              <w:rPr>
                <w:rFonts w:ascii="Arial" w:hAnsi="Arial"/>
                <w:color w:val="0070C0"/>
                <w:sz w:val="16"/>
              </w:rPr>
            </w:pPr>
            <w:r w:rsidRPr="006B3261">
              <w:rPr>
                <w:rFonts w:ascii="Arial" w:hAnsi="Arial"/>
                <w:color w:val="0070C0"/>
                <w:sz w:val="16"/>
              </w:rPr>
              <w:t>Alexander Nothaft</w:t>
            </w:r>
          </w:p>
          <w:p w:rsidR="006B3261" w:rsidRPr="006B3261" w:rsidRDefault="006B3261" w:rsidP="006B3261">
            <w:pPr>
              <w:rPr>
                <w:rFonts w:ascii="Arial" w:hAnsi="Arial"/>
                <w:color w:val="0070C0"/>
                <w:sz w:val="16"/>
              </w:rPr>
            </w:pPr>
            <w:r w:rsidRPr="006B3261">
              <w:rPr>
                <w:rFonts w:ascii="Arial" w:hAnsi="Arial"/>
                <w:color w:val="0070C0"/>
                <w:sz w:val="16"/>
              </w:rPr>
              <w:t>Leiter Kommunikation</w:t>
            </w:r>
          </w:p>
        </w:tc>
      </w:tr>
      <w:tr w:rsidR="006B3261" w:rsidTr="00002DA4">
        <w:tc>
          <w:tcPr>
            <w:tcW w:w="4323" w:type="dxa"/>
          </w:tcPr>
          <w:p w:rsidR="006B3261" w:rsidRPr="006B3261" w:rsidRDefault="005E3611" w:rsidP="00440135">
            <w:pPr>
              <w:rPr>
                <w:rFonts w:ascii="Arial" w:hAnsi="Arial"/>
                <w:color w:val="0070C0"/>
              </w:rPr>
            </w:pPr>
            <w:r>
              <w:rPr>
                <w:rFonts w:ascii="Arial" w:hAnsi="Arial"/>
                <w:color w:val="0070C0"/>
              </w:rPr>
              <w:t xml:space="preserve">Nr. </w:t>
            </w:r>
            <w:r w:rsidR="00440135">
              <w:rPr>
                <w:rFonts w:ascii="Arial" w:hAnsi="Arial"/>
                <w:color w:val="0070C0"/>
              </w:rPr>
              <w:t>5</w:t>
            </w:r>
            <w:r w:rsidR="006B3261" w:rsidRPr="006B3261">
              <w:rPr>
                <w:rFonts w:ascii="Arial" w:hAnsi="Arial"/>
                <w:color w:val="0070C0"/>
              </w:rPr>
              <w:t>/</w:t>
            </w:r>
            <w:r>
              <w:rPr>
                <w:rFonts w:ascii="Arial" w:hAnsi="Arial"/>
                <w:color w:val="0070C0"/>
              </w:rPr>
              <w:t>2016</w:t>
            </w:r>
            <w:r w:rsidR="006B3261" w:rsidRPr="006B3261">
              <w:rPr>
                <w:rFonts w:ascii="Arial" w:hAnsi="Arial"/>
                <w:color w:val="0070C0"/>
              </w:rPr>
              <w:t xml:space="preserve">                                   </w:t>
            </w:r>
          </w:p>
        </w:tc>
        <w:tc>
          <w:tcPr>
            <w:tcW w:w="3118" w:type="dxa"/>
            <w:gridSpan w:val="2"/>
          </w:tcPr>
          <w:p w:rsidR="006B3261" w:rsidRPr="006B3261" w:rsidRDefault="006B3261">
            <w:pPr>
              <w:rPr>
                <w:rFonts w:ascii="Arial" w:hAnsi="Arial"/>
                <w:color w:val="0070C0"/>
              </w:rPr>
            </w:pPr>
          </w:p>
        </w:tc>
        <w:tc>
          <w:tcPr>
            <w:tcW w:w="2268" w:type="dxa"/>
          </w:tcPr>
          <w:p w:rsidR="006B3261" w:rsidRPr="006B3261" w:rsidRDefault="006B3261" w:rsidP="00002DA4">
            <w:pPr>
              <w:rPr>
                <w:rFonts w:ascii="Arial" w:hAnsi="Arial"/>
                <w:color w:val="0070C0"/>
                <w:sz w:val="16"/>
              </w:rPr>
            </w:pPr>
          </w:p>
        </w:tc>
      </w:tr>
      <w:tr w:rsidR="006B3261" w:rsidTr="00002DA4">
        <w:tc>
          <w:tcPr>
            <w:tcW w:w="4323" w:type="dxa"/>
          </w:tcPr>
          <w:p w:rsidR="006B3261" w:rsidRPr="006B3261" w:rsidRDefault="006B3261">
            <w:pPr>
              <w:rPr>
                <w:rFonts w:ascii="Arial" w:hAnsi="Arial"/>
                <w:color w:val="0070C0"/>
              </w:rPr>
            </w:pPr>
          </w:p>
        </w:tc>
        <w:tc>
          <w:tcPr>
            <w:tcW w:w="3118" w:type="dxa"/>
            <w:gridSpan w:val="2"/>
          </w:tcPr>
          <w:p w:rsidR="006B3261" w:rsidRPr="006B3261" w:rsidRDefault="006B3261">
            <w:pPr>
              <w:rPr>
                <w:rFonts w:ascii="Arial" w:hAnsi="Arial"/>
                <w:color w:val="0070C0"/>
              </w:rPr>
            </w:pPr>
          </w:p>
        </w:tc>
        <w:tc>
          <w:tcPr>
            <w:tcW w:w="2268" w:type="dxa"/>
          </w:tcPr>
          <w:p w:rsidR="006B3261" w:rsidRPr="006B3261" w:rsidRDefault="006B3261" w:rsidP="00002DA4">
            <w:pPr>
              <w:rPr>
                <w:rFonts w:ascii="Arial" w:hAnsi="Arial"/>
                <w:color w:val="0070C0"/>
                <w:sz w:val="16"/>
              </w:rPr>
            </w:pPr>
            <w:r w:rsidRPr="006B3261">
              <w:rPr>
                <w:rFonts w:ascii="Arial" w:hAnsi="Arial"/>
                <w:color w:val="0070C0"/>
                <w:sz w:val="16"/>
              </w:rPr>
              <w:t>Telefon [030] 59 00 91-523</w:t>
            </w:r>
          </w:p>
          <w:p w:rsidR="006B3261" w:rsidRPr="006B3261" w:rsidRDefault="006B3261" w:rsidP="00002DA4">
            <w:pPr>
              <w:rPr>
                <w:rFonts w:ascii="Arial" w:hAnsi="Arial"/>
                <w:color w:val="0070C0"/>
                <w:sz w:val="16"/>
              </w:rPr>
            </w:pPr>
            <w:r w:rsidRPr="006B3261">
              <w:rPr>
                <w:rFonts w:ascii="Arial" w:hAnsi="Arial"/>
                <w:color w:val="0070C0"/>
                <w:sz w:val="16"/>
              </w:rPr>
              <w:t>Telefax [030] 59 00 91-501</w:t>
            </w:r>
          </w:p>
          <w:p w:rsidR="006B3261" w:rsidRDefault="006B3261" w:rsidP="00002DA4">
            <w:pPr>
              <w:rPr>
                <w:rFonts w:ascii="Arial" w:hAnsi="Arial"/>
                <w:color w:val="0070C0"/>
                <w:sz w:val="16"/>
              </w:rPr>
            </w:pPr>
            <w:r w:rsidRPr="006B3261">
              <w:rPr>
                <w:rFonts w:ascii="Arial" w:hAnsi="Arial"/>
                <w:color w:val="0070C0"/>
                <w:sz w:val="16"/>
              </w:rPr>
              <w:t>E-Mail: nothaft@vdpb.de</w:t>
            </w:r>
          </w:p>
          <w:p w:rsidR="005A3815" w:rsidRPr="006B3261" w:rsidRDefault="005A3815" w:rsidP="00002DA4">
            <w:pPr>
              <w:rPr>
                <w:rFonts w:ascii="Arial" w:hAnsi="Arial"/>
                <w:color w:val="0070C0"/>
                <w:sz w:val="16"/>
              </w:rPr>
            </w:pPr>
            <w:r>
              <w:rPr>
                <w:rFonts w:ascii="Arial" w:hAnsi="Arial"/>
                <w:color w:val="0070C0"/>
                <w:sz w:val="16"/>
              </w:rPr>
              <w:t>www.bausparkassen.de</w:t>
            </w:r>
          </w:p>
          <w:p w:rsidR="006B3261" w:rsidRPr="006B3261" w:rsidRDefault="006B3261">
            <w:pPr>
              <w:rPr>
                <w:rFonts w:ascii="Arial" w:hAnsi="Arial"/>
                <w:color w:val="0070C0"/>
                <w:sz w:val="16"/>
              </w:rPr>
            </w:pPr>
          </w:p>
        </w:tc>
      </w:tr>
      <w:tr w:rsidR="006B3261" w:rsidTr="00002DA4">
        <w:tc>
          <w:tcPr>
            <w:tcW w:w="4323" w:type="dxa"/>
          </w:tcPr>
          <w:p w:rsidR="006B3261" w:rsidRPr="006B3261" w:rsidRDefault="006B3261">
            <w:pPr>
              <w:rPr>
                <w:rFonts w:ascii="Arial" w:hAnsi="Arial"/>
                <w:color w:val="0070C0"/>
              </w:rPr>
            </w:pPr>
          </w:p>
        </w:tc>
        <w:tc>
          <w:tcPr>
            <w:tcW w:w="3118" w:type="dxa"/>
            <w:gridSpan w:val="2"/>
          </w:tcPr>
          <w:p w:rsidR="006B3261" w:rsidRPr="006B3261" w:rsidRDefault="006B3261">
            <w:pPr>
              <w:rPr>
                <w:rFonts w:ascii="Arial" w:hAnsi="Arial"/>
                <w:color w:val="0070C0"/>
              </w:rPr>
            </w:pPr>
          </w:p>
        </w:tc>
        <w:tc>
          <w:tcPr>
            <w:tcW w:w="2268" w:type="dxa"/>
          </w:tcPr>
          <w:p w:rsidR="006B3261" w:rsidRPr="006B3261" w:rsidRDefault="006B3261">
            <w:pPr>
              <w:rPr>
                <w:rFonts w:ascii="Arial" w:hAnsi="Arial"/>
                <w:color w:val="0070C0"/>
                <w:sz w:val="16"/>
              </w:rPr>
            </w:pPr>
            <w:r w:rsidRPr="006B3261">
              <w:rPr>
                <w:rFonts w:ascii="Arial" w:hAnsi="Arial"/>
                <w:color w:val="0070C0"/>
                <w:sz w:val="16"/>
              </w:rPr>
              <w:t>Postfach 30 30 79</w:t>
            </w:r>
          </w:p>
          <w:p w:rsidR="006B3261" w:rsidRPr="006B3261" w:rsidRDefault="006B3261">
            <w:pPr>
              <w:rPr>
                <w:rFonts w:ascii="Arial" w:hAnsi="Arial"/>
                <w:color w:val="0070C0"/>
                <w:sz w:val="16"/>
              </w:rPr>
            </w:pPr>
            <w:r w:rsidRPr="006B3261">
              <w:rPr>
                <w:rFonts w:ascii="Arial" w:hAnsi="Arial"/>
                <w:color w:val="0070C0"/>
                <w:sz w:val="16"/>
              </w:rPr>
              <w:t>10730 Berlin</w:t>
            </w:r>
          </w:p>
        </w:tc>
      </w:tr>
    </w:tbl>
    <w:p w:rsidR="00440135" w:rsidRDefault="00440135" w:rsidP="00A24E4A">
      <w:pPr>
        <w:pStyle w:val="Absatz"/>
        <w:tabs>
          <w:tab w:val="left" w:pos="6237"/>
        </w:tabs>
        <w:spacing w:before="0" w:after="0"/>
        <w:ind w:right="1700"/>
        <w:jc w:val="center"/>
        <w:rPr>
          <w:b/>
          <w:sz w:val="32"/>
        </w:rPr>
      </w:pPr>
    </w:p>
    <w:p w:rsidR="00FD1586" w:rsidRDefault="00FD1586" w:rsidP="00A24E4A">
      <w:pPr>
        <w:pStyle w:val="Absatz"/>
        <w:tabs>
          <w:tab w:val="left" w:pos="6237"/>
        </w:tabs>
        <w:spacing w:before="0" w:after="0"/>
        <w:ind w:right="1700"/>
        <w:jc w:val="center"/>
        <w:rPr>
          <w:b/>
          <w:sz w:val="32"/>
        </w:rPr>
      </w:pPr>
      <w:r>
        <w:rPr>
          <w:b/>
          <w:sz w:val="32"/>
        </w:rPr>
        <w:t>Die EZB und die „halbe Wahrheit“</w:t>
      </w:r>
    </w:p>
    <w:p w:rsidR="00461A0C" w:rsidRPr="00650EB8" w:rsidRDefault="00461A0C" w:rsidP="00A24E4A">
      <w:pPr>
        <w:pStyle w:val="Absatz"/>
        <w:tabs>
          <w:tab w:val="left" w:pos="6237"/>
        </w:tabs>
        <w:spacing w:before="0" w:after="0"/>
        <w:ind w:right="1700"/>
        <w:jc w:val="center"/>
        <w:rPr>
          <w:b/>
          <w:sz w:val="20"/>
        </w:rPr>
      </w:pPr>
    </w:p>
    <w:p w:rsidR="00650EB8" w:rsidRDefault="00440135" w:rsidP="00A24E4A">
      <w:pPr>
        <w:pStyle w:val="Absatz"/>
        <w:tabs>
          <w:tab w:val="left" w:pos="6237"/>
        </w:tabs>
        <w:spacing w:before="0" w:after="0"/>
        <w:ind w:right="1700"/>
        <w:jc w:val="center"/>
        <w:rPr>
          <w:b/>
          <w:sz w:val="28"/>
          <w:szCs w:val="28"/>
        </w:rPr>
      </w:pPr>
      <w:r w:rsidRPr="00FD1586">
        <w:rPr>
          <w:b/>
          <w:sz w:val="28"/>
          <w:szCs w:val="28"/>
        </w:rPr>
        <w:t>Ifo-Institut bestätigt</w:t>
      </w:r>
      <w:r w:rsidR="00650EB8">
        <w:rPr>
          <w:b/>
          <w:sz w:val="28"/>
          <w:szCs w:val="28"/>
        </w:rPr>
        <w:t xml:space="preserve"> schleichenden Vermögensverlust</w:t>
      </w:r>
    </w:p>
    <w:p w:rsidR="00A24E4A" w:rsidRPr="00FD1586" w:rsidRDefault="00FD1586" w:rsidP="00A24E4A">
      <w:pPr>
        <w:pStyle w:val="Absatz"/>
        <w:tabs>
          <w:tab w:val="left" w:pos="6237"/>
        </w:tabs>
        <w:spacing w:before="0" w:after="0"/>
        <w:ind w:right="1700"/>
        <w:jc w:val="center"/>
        <w:rPr>
          <w:b/>
          <w:sz w:val="28"/>
          <w:szCs w:val="28"/>
        </w:rPr>
      </w:pPr>
      <w:r w:rsidRPr="00FD1586">
        <w:rPr>
          <w:b/>
          <w:sz w:val="28"/>
          <w:szCs w:val="28"/>
        </w:rPr>
        <w:t xml:space="preserve">für </w:t>
      </w:r>
      <w:r w:rsidR="00440135" w:rsidRPr="00FD1586">
        <w:rPr>
          <w:b/>
          <w:sz w:val="28"/>
          <w:szCs w:val="28"/>
        </w:rPr>
        <w:t>Sparer</w:t>
      </w:r>
    </w:p>
    <w:p w:rsidR="00A24E4A" w:rsidRPr="00650EB8" w:rsidRDefault="00A24E4A" w:rsidP="00A24E4A">
      <w:pPr>
        <w:pStyle w:val="Absatz"/>
        <w:tabs>
          <w:tab w:val="left" w:pos="6237"/>
        </w:tabs>
        <w:spacing w:before="0" w:after="0"/>
        <w:ind w:right="1700"/>
        <w:jc w:val="center"/>
        <w:rPr>
          <w:b/>
          <w:sz w:val="20"/>
          <w:szCs w:val="28"/>
        </w:rPr>
      </w:pPr>
    </w:p>
    <w:p w:rsidR="00650EB8" w:rsidRDefault="00FD1586" w:rsidP="00A24E4A">
      <w:pPr>
        <w:pStyle w:val="NurText"/>
        <w:spacing w:before="120" w:line="360" w:lineRule="auto"/>
        <w:ind w:right="1982"/>
        <w:jc w:val="both"/>
        <w:rPr>
          <w:rFonts w:ascii="Times New Roman" w:hAnsi="Times New Roman"/>
          <w:b/>
          <w:sz w:val="24"/>
        </w:rPr>
      </w:pPr>
      <w:r>
        <w:rPr>
          <w:rFonts w:ascii="Times New Roman" w:hAnsi="Times New Roman"/>
          <w:b/>
          <w:sz w:val="24"/>
        </w:rPr>
        <w:t xml:space="preserve">Entgegen der Aussage der Europäischen Zentralbank sind die deutschen </w:t>
      </w:r>
      <w:r w:rsidR="00440135">
        <w:rPr>
          <w:rFonts w:ascii="Times New Roman" w:hAnsi="Times New Roman"/>
          <w:b/>
          <w:sz w:val="24"/>
        </w:rPr>
        <w:t xml:space="preserve">Sparer die Verlierer der EZB-Nullzinspolitik. Das </w:t>
      </w:r>
      <w:r>
        <w:rPr>
          <w:rFonts w:ascii="Times New Roman" w:hAnsi="Times New Roman"/>
          <w:b/>
          <w:sz w:val="24"/>
        </w:rPr>
        <w:t>gilt jedenfalls für</w:t>
      </w:r>
      <w:r w:rsidR="00650EB8">
        <w:rPr>
          <w:rFonts w:ascii="Times New Roman" w:hAnsi="Times New Roman"/>
          <w:b/>
          <w:sz w:val="24"/>
        </w:rPr>
        <w:t xml:space="preserve"> </w:t>
      </w:r>
    </w:p>
    <w:p w:rsidR="00A24E4A" w:rsidRDefault="00650EB8" w:rsidP="00650EB8">
      <w:pPr>
        <w:pStyle w:val="NurText"/>
        <w:spacing w:line="360" w:lineRule="auto"/>
        <w:ind w:right="1985"/>
        <w:jc w:val="both"/>
        <w:rPr>
          <w:rFonts w:ascii="Times New Roman" w:hAnsi="Times New Roman"/>
          <w:b/>
          <w:sz w:val="24"/>
        </w:rPr>
      </w:pPr>
      <w:r>
        <w:rPr>
          <w:rFonts w:ascii="Times New Roman" w:hAnsi="Times New Roman"/>
          <w:b/>
          <w:sz w:val="24"/>
        </w:rPr>
        <w:t>sicherheits</w:t>
      </w:r>
      <w:r w:rsidR="00FD1586">
        <w:rPr>
          <w:rFonts w:ascii="Times New Roman" w:hAnsi="Times New Roman"/>
          <w:b/>
          <w:sz w:val="24"/>
        </w:rPr>
        <w:t>orientierte Sparer, die ihr Geld längerfristig anlegen wollen. E</w:t>
      </w:r>
      <w:r w:rsidR="00440135">
        <w:rPr>
          <w:rFonts w:ascii="Times New Roman" w:hAnsi="Times New Roman"/>
          <w:b/>
          <w:sz w:val="24"/>
        </w:rPr>
        <w:t>ine Auswertung von Zahlen der Deutschen Bundesbank durch das Ifo-Institut</w:t>
      </w:r>
      <w:r w:rsidR="00FD1586">
        <w:rPr>
          <w:rFonts w:ascii="Times New Roman" w:hAnsi="Times New Roman"/>
          <w:b/>
          <w:sz w:val="24"/>
        </w:rPr>
        <w:t>, München,</w:t>
      </w:r>
      <w:r w:rsidR="00440135">
        <w:rPr>
          <w:rFonts w:ascii="Times New Roman" w:hAnsi="Times New Roman"/>
          <w:b/>
          <w:sz w:val="24"/>
        </w:rPr>
        <w:t xml:space="preserve"> im Auftrag des Verbandes der Privaten Bausparkassen</w:t>
      </w:r>
      <w:r w:rsidR="00FD1586">
        <w:rPr>
          <w:rFonts w:ascii="Times New Roman" w:hAnsi="Times New Roman"/>
          <w:b/>
          <w:sz w:val="24"/>
        </w:rPr>
        <w:t xml:space="preserve"> bestätigt dieses Ergebnis</w:t>
      </w:r>
      <w:r w:rsidR="00440135">
        <w:rPr>
          <w:rFonts w:ascii="Times New Roman" w:hAnsi="Times New Roman"/>
          <w:b/>
          <w:sz w:val="24"/>
        </w:rPr>
        <w:t xml:space="preserve">. </w:t>
      </w:r>
    </w:p>
    <w:p w:rsidR="00650EB8" w:rsidRDefault="003B313E" w:rsidP="00A24E4A">
      <w:pPr>
        <w:pStyle w:val="NurText"/>
        <w:spacing w:before="120" w:line="360" w:lineRule="auto"/>
        <w:ind w:right="1982"/>
        <w:jc w:val="both"/>
        <w:rPr>
          <w:rFonts w:ascii="Times New Roman" w:hAnsi="Times New Roman"/>
          <w:sz w:val="24"/>
        </w:rPr>
      </w:pPr>
      <w:r>
        <w:rPr>
          <w:rFonts w:ascii="Times New Roman" w:hAnsi="Times New Roman"/>
          <w:sz w:val="24"/>
        </w:rPr>
        <w:t xml:space="preserve">Die Europäische Zentralbank wehrt sich seit längerem gegen den Vorwurf </w:t>
      </w:r>
    </w:p>
    <w:p w:rsidR="003B313E" w:rsidRDefault="003B313E" w:rsidP="00650EB8">
      <w:pPr>
        <w:pStyle w:val="NurText"/>
        <w:spacing w:line="360" w:lineRule="auto"/>
        <w:ind w:right="1985"/>
        <w:jc w:val="both"/>
        <w:rPr>
          <w:rFonts w:ascii="Times New Roman" w:hAnsi="Times New Roman"/>
          <w:sz w:val="24"/>
        </w:rPr>
      </w:pPr>
      <w:r>
        <w:rPr>
          <w:rFonts w:ascii="Times New Roman" w:hAnsi="Times New Roman"/>
          <w:sz w:val="24"/>
        </w:rPr>
        <w:t>einer unfairen Bestrafung der Sparer. Dabei verweist sie auf Zahlen der Deu</w:t>
      </w:r>
      <w:r>
        <w:rPr>
          <w:rFonts w:ascii="Times New Roman" w:hAnsi="Times New Roman"/>
          <w:sz w:val="24"/>
        </w:rPr>
        <w:t>t</w:t>
      </w:r>
      <w:r w:rsidR="00650EB8">
        <w:rPr>
          <w:rFonts w:ascii="Times New Roman" w:hAnsi="Times New Roman"/>
          <w:sz w:val="24"/>
        </w:rPr>
        <w:t>schen Bundesbank.</w:t>
      </w:r>
      <w:r w:rsidR="00B02FA6">
        <w:rPr>
          <w:rStyle w:val="Endnotenzeichen"/>
          <w:rFonts w:ascii="Times New Roman" w:hAnsi="Times New Roman"/>
          <w:sz w:val="24"/>
        </w:rPr>
        <w:endnoteReference w:id="1"/>
      </w:r>
      <w:r>
        <w:rPr>
          <w:rFonts w:ascii="Times New Roman" w:hAnsi="Times New Roman"/>
          <w:sz w:val="24"/>
        </w:rPr>
        <w:t xml:space="preserve"> Danach sei </w:t>
      </w:r>
      <w:r w:rsidR="00407450">
        <w:rPr>
          <w:rFonts w:ascii="Times New Roman" w:hAnsi="Times New Roman"/>
          <w:sz w:val="24"/>
        </w:rPr>
        <w:t>bereits früher d</w:t>
      </w:r>
      <w:r>
        <w:rPr>
          <w:rFonts w:ascii="Times New Roman" w:hAnsi="Times New Roman"/>
          <w:sz w:val="24"/>
        </w:rPr>
        <w:t xml:space="preserve">ie Inflation </w:t>
      </w:r>
      <w:r w:rsidR="00407450">
        <w:rPr>
          <w:rFonts w:ascii="Times New Roman" w:hAnsi="Times New Roman"/>
          <w:sz w:val="24"/>
        </w:rPr>
        <w:t xml:space="preserve">oft </w:t>
      </w:r>
      <w:r>
        <w:rPr>
          <w:rFonts w:ascii="Times New Roman" w:hAnsi="Times New Roman"/>
          <w:sz w:val="24"/>
        </w:rPr>
        <w:t xml:space="preserve">höher gewesen als der Sparbuchzins. Reale Verluste für Sparer seien also nichts Neues. </w:t>
      </w:r>
    </w:p>
    <w:p w:rsidR="0007589F" w:rsidRDefault="0007589F" w:rsidP="00A24E4A">
      <w:pPr>
        <w:pStyle w:val="NurText"/>
        <w:spacing w:before="120" w:line="360" w:lineRule="auto"/>
        <w:ind w:right="1982"/>
        <w:jc w:val="both"/>
        <w:rPr>
          <w:rFonts w:ascii="Times New Roman" w:hAnsi="Times New Roman"/>
          <w:sz w:val="24"/>
        </w:rPr>
      </w:pPr>
      <w:r>
        <w:rPr>
          <w:rFonts w:ascii="Times New Roman" w:hAnsi="Times New Roman"/>
          <w:sz w:val="24"/>
        </w:rPr>
        <w:t>„</w:t>
      </w:r>
      <w:r w:rsidR="005E686E">
        <w:rPr>
          <w:rFonts w:ascii="Times New Roman" w:hAnsi="Times New Roman"/>
          <w:sz w:val="24"/>
        </w:rPr>
        <w:t>Für</w:t>
      </w:r>
      <w:r>
        <w:rPr>
          <w:rFonts w:ascii="Times New Roman" w:hAnsi="Times New Roman"/>
          <w:sz w:val="24"/>
        </w:rPr>
        <w:t xml:space="preserve"> </w:t>
      </w:r>
      <w:r w:rsidR="00DE6846">
        <w:rPr>
          <w:rFonts w:ascii="Times New Roman" w:hAnsi="Times New Roman"/>
          <w:sz w:val="24"/>
        </w:rPr>
        <w:t xml:space="preserve">kurzfristig kündbare Anlagen wie das Sparbuch ist das richtig. Für </w:t>
      </w:r>
      <w:r>
        <w:rPr>
          <w:rFonts w:ascii="Times New Roman" w:hAnsi="Times New Roman"/>
          <w:sz w:val="24"/>
        </w:rPr>
        <w:t>siche</w:t>
      </w:r>
      <w:r>
        <w:rPr>
          <w:rFonts w:ascii="Times New Roman" w:hAnsi="Times New Roman"/>
          <w:sz w:val="24"/>
        </w:rPr>
        <w:t>r</w:t>
      </w:r>
      <w:r>
        <w:rPr>
          <w:rFonts w:ascii="Times New Roman" w:hAnsi="Times New Roman"/>
          <w:sz w:val="24"/>
        </w:rPr>
        <w:t>heitsorientierte Sparer, die ihr Geld längerfristig anlegen, gilt diese Aussage aber nicht“, erklärte</w:t>
      </w:r>
      <w:r w:rsidR="00A24E4A" w:rsidRPr="00D57421">
        <w:rPr>
          <w:rFonts w:ascii="Times New Roman" w:hAnsi="Times New Roman"/>
          <w:sz w:val="24"/>
        </w:rPr>
        <w:t xml:space="preserve"> der Vorstandsvorsitzende des Verbandes der Privaten Bausparkassen, Andreas J. Zehnder</w:t>
      </w:r>
      <w:r>
        <w:rPr>
          <w:rFonts w:ascii="Times New Roman" w:hAnsi="Times New Roman"/>
          <w:sz w:val="24"/>
        </w:rPr>
        <w:t>. „Diese Sparer – und dazu gehören vor allem Normal- und Geringverdiener – müssen sich heute real mit deutlich w</w:t>
      </w:r>
      <w:r>
        <w:rPr>
          <w:rFonts w:ascii="Times New Roman" w:hAnsi="Times New Roman"/>
          <w:sz w:val="24"/>
        </w:rPr>
        <w:t>e</w:t>
      </w:r>
      <w:r>
        <w:rPr>
          <w:rFonts w:ascii="Times New Roman" w:hAnsi="Times New Roman"/>
          <w:sz w:val="24"/>
        </w:rPr>
        <w:t>niger Zinsen zufrieden geben als früher.</w:t>
      </w:r>
      <w:r w:rsidR="00F83A3B">
        <w:rPr>
          <w:rFonts w:ascii="Times New Roman" w:hAnsi="Times New Roman"/>
          <w:sz w:val="24"/>
        </w:rPr>
        <w:t xml:space="preserve"> Sie s</w:t>
      </w:r>
      <w:r w:rsidR="00FC41C2">
        <w:rPr>
          <w:rFonts w:ascii="Times New Roman" w:hAnsi="Times New Roman"/>
          <w:sz w:val="24"/>
        </w:rPr>
        <w:t>ind</w:t>
      </w:r>
      <w:r w:rsidR="00F83A3B">
        <w:rPr>
          <w:rFonts w:ascii="Times New Roman" w:hAnsi="Times New Roman"/>
          <w:sz w:val="24"/>
        </w:rPr>
        <w:t xml:space="preserve"> die Leidtragenden d</w:t>
      </w:r>
      <w:r w:rsidR="00FC41C2">
        <w:rPr>
          <w:rFonts w:ascii="Times New Roman" w:hAnsi="Times New Roman"/>
          <w:sz w:val="24"/>
        </w:rPr>
        <w:t>er</w:t>
      </w:r>
      <w:r w:rsidR="00F83A3B">
        <w:rPr>
          <w:rFonts w:ascii="Times New Roman" w:hAnsi="Times New Roman"/>
          <w:sz w:val="24"/>
        </w:rPr>
        <w:t xml:space="preserve"> Nul</w:t>
      </w:r>
      <w:r w:rsidR="00F83A3B">
        <w:rPr>
          <w:rFonts w:ascii="Times New Roman" w:hAnsi="Times New Roman"/>
          <w:sz w:val="24"/>
        </w:rPr>
        <w:t>l</w:t>
      </w:r>
      <w:r w:rsidR="00F83A3B">
        <w:rPr>
          <w:rFonts w:ascii="Times New Roman" w:hAnsi="Times New Roman"/>
          <w:sz w:val="24"/>
        </w:rPr>
        <w:t>zinspolitik</w:t>
      </w:r>
      <w:r w:rsidR="00E777E4">
        <w:rPr>
          <w:rFonts w:ascii="Times New Roman" w:hAnsi="Times New Roman"/>
          <w:sz w:val="24"/>
        </w:rPr>
        <w:t xml:space="preserve"> und erleben einen schleichenden Vermögensverlust</w:t>
      </w:r>
      <w:r w:rsidR="00F83A3B">
        <w:rPr>
          <w:rFonts w:ascii="Times New Roman" w:hAnsi="Times New Roman"/>
          <w:sz w:val="24"/>
        </w:rPr>
        <w:t>.</w:t>
      </w:r>
      <w:r w:rsidR="00FC41C2">
        <w:rPr>
          <w:rFonts w:ascii="Times New Roman" w:hAnsi="Times New Roman"/>
          <w:sz w:val="24"/>
        </w:rPr>
        <w:t>“</w:t>
      </w:r>
      <w:r w:rsidR="00F83A3B">
        <w:rPr>
          <w:rFonts w:ascii="Times New Roman" w:hAnsi="Times New Roman"/>
          <w:sz w:val="24"/>
        </w:rPr>
        <w:t xml:space="preserve"> Ihre Berei</w:t>
      </w:r>
      <w:r w:rsidR="00F83A3B">
        <w:rPr>
          <w:rFonts w:ascii="Times New Roman" w:hAnsi="Times New Roman"/>
          <w:sz w:val="24"/>
        </w:rPr>
        <w:t>t</w:t>
      </w:r>
      <w:r w:rsidR="00F83A3B">
        <w:rPr>
          <w:rFonts w:ascii="Times New Roman" w:hAnsi="Times New Roman"/>
          <w:sz w:val="24"/>
        </w:rPr>
        <w:t xml:space="preserve">schaft, </w:t>
      </w:r>
      <w:r w:rsidR="00FC41C2">
        <w:rPr>
          <w:rFonts w:ascii="Times New Roman" w:hAnsi="Times New Roman"/>
          <w:sz w:val="24"/>
        </w:rPr>
        <w:t>p</w:t>
      </w:r>
      <w:r w:rsidR="00F83A3B">
        <w:rPr>
          <w:rFonts w:ascii="Times New Roman" w:hAnsi="Times New Roman"/>
          <w:sz w:val="24"/>
        </w:rPr>
        <w:t>rivat für das Alter vorzusorgen, w</w:t>
      </w:r>
      <w:r w:rsidR="00FC41C2">
        <w:rPr>
          <w:rFonts w:ascii="Times New Roman" w:hAnsi="Times New Roman"/>
          <w:sz w:val="24"/>
        </w:rPr>
        <w:t>erde</w:t>
      </w:r>
      <w:r w:rsidR="00F83A3B">
        <w:rPr>
          <w:rFonts w:ascii="Times New Roman" w:hAnsi="Times New Roman"/>
          <w:sz w:val="24"/>
        </w:rPr>
        <w:t xml:space="preserve"> untergraben und ihre bestehe</w:t>
      </w:r>
      <w:r w:rsidR="00F83A3B">
        <w:rPr>
          <w:rFonts w:ascii="Times New Roman" w:hAnsi="Times New Roman"/>
          <w:sz w:val="24"/>
        </w:rPr>
        <w:t>n</w:t>
      </w:r>
      <w:r w:rsidR="00F83A3B">
        <w:rPr>
          <w:rFonts w:ascii="Times New Roman" w:hAnsi="Times New Roman"/>
          <w:sz w:val="24"/>
        </w:rPr>
        <w:lastRenderedPageBreak/>
        <w:t>de Absicherung entwertet.</w:t>
      </w:r>
      <w:r w:rsidR="00DE6846">
        <w:rPr>
          <w:rFonts w:ascii="Times New Roman" w:hAnsi="Times New Roman"/>
          <w:sz w:val="24"/>
        </w:rPr>
        <w:t xml:space="preserve"> Der Hinweis der EZB </w:t>
      </w:r>
      <w:proofErr w:type="gramStart"/>
      <w:r w:rsidR="00DE6846">
        <w:rPr>
          <w:rFonts w:ascii="Times New Roman" w:hAnsi="Times New Roman"/>
          <w:sz w:val="24"/>
        </w:rPr>
        <w:t>spiegele</w:t>
      </w:r>
      <w:proofErr w:type="gramEnd"/>
      <w:r w:rsidR="00DE6846">
        <w:rPr>
          <w:rFonts w:ascii="Times New Roman" w:hAnsi="Times New Roman"/>
          <w:sz w:val="24"/>
        </w:rPr>
        <w:t xml:space="preserve"> somit nur die halbe Wahrheit wider. </w:t>
      </w:r>
    </w:p>
    <w:p w:rsidR="0007589F" w:rsidRDefault="00FC41C2" w:rsidP="00A24E4A">
      <w:pPr>
        <w:pStyle w:val="NurText"/>
        <w:spacing w:before="120" w:line="360" w:lineRule="auto"/>
        <w:ind w:right="1982"/>
        <w:jc w:val="both"/>
        <w:rPr>
          <w:rFonts w:ascii="Times New Roman" w:hAnsi="Times New Roman"/>
          <w:sz w:val="24"/>
        </w:rPr>
      </w:pPr>
      <w:r>
        <w:rPr>
          <w:rFonts w:ascii="Times New Roman" w:hAnsi="Times New Roman"/>
          <w:sz w:val="24"/>
        </w:rPr>
        <w:t>Beispiel für den anderen Teil der Wahrheit: der</w:t>
      </w:r>
      <w:r w:rsidR="00F83A3B">
        <w:rPr>
          <w:rFonts w:ascii="Times New Roman" w:hAnsi="Times New Roman"/>
          <w:sz w:val="24"/>
        </w:rPr>
        <w:t xml:space="preserve"> </w:t>
      </w:r>
      <w:r w:rsidR="0007589F">
        <w:rPr>
          <w:rFonts w:ascii="Times New Roman" w:hAnsi="Times New Roman"/>
          <w:sz w:val="24"/>
        </w:rPr>
        <w:t>Sparbrief mit vierjähriger Laufzeit</w:t>
      </w:r>
      <w:r>
        <w:rPr>
          <w:rFonts w:ascii="Times New Roman" w:hAnsi="Times New Roman"/>
          <w:sz w:val="24"/>
        </w:rPr>
        <w:t>. Dieser</w:t>
      </w:r>
      <w:r w:rsidR="0007589F">
        <w:rPr>
          <w:rFonts w:ascii="Times New Roman" w:hAnsi="Times New Roman"/>
          <w:sz w:val="24"/>
        </w:rPr>
        <w:t xml:space="preserve"> </w:t>
      </w:r>
      <w:r w:rsidR="00F83A3B">
        <w:rPr>
          <w:rFonts w:ascii="Times New Roman" w:hAnsi="Times New Roman"/>
          <w:sz w:val="24"/>
        </w:rPr>
        <w:t xml:space="preserve">brachte im Zeitraum 1970 bis 1979 eine reale Rendite von durchschnittlich 2,2 Prozent ein. Zwischen 1980 und 1989 stieg diese auf 3,8 Prozent. Noch in den 90er Jahren rentierte der Sparbrief mit real 3,4 Prozent. Zwischen 2000 und 2010 </w:t>
      </w:r>
      <w:r w:rsidR="00D276C6">
        <w:rPr>
          <w:rFonts w:ascii="Times New Roman" w:hAnsi="Times New Roman"/>
          <w:sz w:val="24"/>
        </w:rPr>
        <w:t xml:space="preserve">betrug </w:t>
      </w:r>
      <w:r w:rsidR="00F83A3B">
        <w:rPr>
          <w:rFonts w:ascii="Times New Roman" w:hAnsi="Times New Roman"/>
          <w:sz w:val="24"/>
        </w:rPr>
        <w:t xml:space="preserve">die Verzinsung </w:t>
      </w:r>
      <w:r w:rsidR="00D276C6">
        <w:rPr>
          <w:rFonts w:ascii="Times New Roman" w:hAnsi="Times New Roman"/>
          <w:sz w:val="24"/>
        </w:rPr>
        <w:t xml:space="preserve">immerhin noch </w:t>
      </w:r>
      <w:r w:rsidR="00F83A3B">
        <w:rPr>
          <w:rFonts w:ascii="Times New Roman" w:hAnsi="Times New Roman"/>
          <w:sz w:val="24"/>
        </w:rPr>
        <w:t xml:space="preserve">1,7 Prozent. </w:t>
      </w:r>
      <w:r w:rsidR="00D276C6">
        <w:rPr>
          <w:rFonts w:ascii="Times New Roman" w:hAnsi="Times New Roman"/>
          <w:sz w:val="24"/>
        </w:rPr>
        <w:t xml:space="preserve">Im Zeitraum 2010 bis 2015 </w:t>
      </w:r>
      <w:r w:rsidR="003379BB">
        <w:rPr>
          <w:rFonts w:ascii="Times New Roman" w:hAnsi="Times New Roman"/>
          <w:sz w:val="24"/>
        </w:rPr>
        <w:t xml:space="preserve">sank die Rendite </w:t>
      </w:r>
      <w:r w:rsidR="00197F99">
        <w:rPr>
          <w:rFonts w:ascii="Times New Roman" w:hAnsi="Times New Roman"/>
          <w:sz w:val="24"/>
        </w:rPr>
        <w:t>auf durchschnittlich nicht einmal 0,5 Prozent.</w:t>
      </w:r>
    </w:p>
    <w:p w:rsidR="004D7B9A" w:rsidRDefault="007B02F1" w:rsidP="00A24E4A">
      <w:pPr>
        <w:pStyle w:val="NurText"/>
        <w:spacing w:before="120" w:line="360" w:lineRule="auto"/>
        <w:ind w:right="1982"/>
        <w:jc w:val="both"/>
        <w:rPr>
          <w:rFonts w:ascii="Times New Roman" w:hAnsi="Times New Roman"/>
          <w:sz w:val="24"/>
        </w:rPr>
      </w:pPr>
      <w:r>
        <w:rPr>
          <w:rFonts w:ascii="Times New Roman" w:hAnsi="Times New Roman"/>
          <w:sz w:val="24"/>
        </w:rPr>
        <w:t xml:space="preserve">Zehnder: „Ein </w:t>
      </w:r>
      <w:r w:rsidR="00197F99">
        <w:rPr>
          <w:rFonts w:ascii="Times New Roman" w:hAnsi="Times New Roman"/>
          <w:sz w:val="24"/>
        </w:rPr>
        <w:t>Zinsunterschied von real 2 Prozentpunkten</w:t>
      </w:r>
      <w:r>
        <w:rPr>
          <w:rFonts w:ascii="Times New Roman" w:hAnsi="Times New Roman"/>
          <w:sz w:val="24"/>
        </w:rPr>
        <w:t xml:space="preserve"> </w:t>
      </w:r>
      <w:r w:rsidR="008F1103">
        <w:rPr>
          <w:rFonts w:ascii="Times New Roman" w:hAnsi="Times New Roman"/>
          <w:sz w:val="24"/>
        </w:rPr>
        <w:t>macht sich d</w:t>
      </w:r>
      <w:r>
        <w:rPr>
          <w:rFonts w:ascii="Times New Roman" w:hAnsi="Times New Roman"/>
          <w:sz w:val="24"/>
        </w:rPr>
        <w:t xml:space="preserve">urch Zinseszinseffekte </w:t>
      </w:r>
      <w:r w:rsidR="008F1103">
        <w:rPr>
          <w:rFonts w:ascii="Times New Roman" w:hAnsi="Times New Roman"/>
          <w:sz w:val="24"/>
        </w:rPr>
        <w:t xml:space="preserve">auf dem Konto deutlich bemerkbar. </w:t>
      </w:r>
      <w:r>
        <w:rPr>
          <w:rFonts w:ascii="Times New Roman" w:hAnsi="Times New Roman"/>
          <w:sz w:val="24"/>
        </w:rPr>
        <w:t>Bei einem Sparbetrag von 20.000 Euro und einer Verzinsung von 0,5 Prozent im ersten Fall und von 2,5 Prozent im zweiten Fall</w:t>
      </w:r>
      <w:r w:rsidR="008F1103">
        <w:rPr>
          <w:rFonts w:ascii="Times New Roman" w:hAnsi="Times New Roman"/>
          <w:sz w:val="24"/>
        </w:rPr>
        <w:t xml:space="preserve"> beträgt der Vermöge</w:t>
      </w:r>
      <w:r w:rsidR="004D7B9A">
        <w:rPr>
          <w:rFonts w:ascii="Times New Roman" w:hAnsi="Times New Roman"/>
          <w:sz w:val="24"/>
        </w:rPr>
        <w:t>nsunterschied nach zehn Ja</w:t>
      </w:r>
      <w:r w:rsidR="004D7B9A">
        <w:rPr>
          <w:rFonts w:ascii="Times New Roman" w:hAnsi="Times New Roman"/>
          <w:sz w:val="24"/>
        </w:rPr>
        <w:t>h</w:t>
      </w:r>
      <w:r w:rsidR="004D7B9A">
        <w:rPr>
          <w:rFonts w:ascii="Times New Roman" w:hAnsi="Times New Roman"/>
          <w:sz w:val="24"/>
        </w:rPr>
        <w:t>ren knapp</w:t>
      </w:r>
      <w:r w:rsidR="008F1103">
        <w:rPr>
          <w:rFonts w:ascii="Times New Roman" w:hAnsi="Times New Roman"/>
          <w:sz w:val="24"/>
        </w:rPr>
        <w:t xml:space="preserve"> 4.</w:t>
      </w:r>
      <w:r w:rsidR="004D7B9A">
        <w:rPr>
          <w:rFonts w:ascii="Times New Roman" w:hAnsi="Times New Roman"/>
          <w:sz w:val="24"/>
        </w:rPr>
        <w:t xml:space="preserve">600 Euro.“ </w:t>
      </w:r>
    </w:p>
    <w:p w:rsidR="00E777E4" w:rsidRDefault="00E777E4" w:rsidP="00A24E4A">
      <w:pPr>
        <w:pStyle w:val="NurText"/>
        <w:spacing w:before="120" w:line="360" w:lineRule="auto"/>
        <w:ind w:right="1982"/>
        <w:jc w:val="both"/>
        <w:rPr>
          <w:rFonts w:ascii="Times New Roman" w:hAnsi="Times New Roman"/>
          <w:sz w:val="24"/>
        </w:rPr>
      </w:pPr>
    </w:p>
    <w:p w:rsidR="00E777E4" w:rsidRDefault="006C395B" w:rsidP="00A24E4A">
      <w:pPr>
        <w:pStyle w:val="NurText"/>
        <w:spacing w:before="120" w:line="360" w:lineRule="auto"/>
        <w:ind w:right="1982"/>
        <w:jc w:val="both"/>
        <w:rPr>
          <w:rFonts w:ascii="Times New Roman" w:hAnsi="Times New Roman"/>
          <w:sz w:val="24"/>
        </w:rPr>
      </w:pPr>
      <w:r>
        <w:rPr>
          <w:rFonts w:ascii="Times New Roman" w:hAnsi="Times New Roman"/>
          <w:noProof/>
          <w:sz w:val="24"/>
        </w:rPr>
        <w:drawing>
          <wp:inline distT="0" distB="0" distL="0" distR="0" wp14:anchorId="7BB1FCD0" wp14:editId="763CB570">
            <wp:extent cx="4932541" cy="4101152"/>
            <wp:effectExtent l="0" t="0" r="1905" b="0"/>
            <wp:docPr id="2" name="Grafik 2" descr="C:\Users\Nothaft\AppData\Local\Microsoft\Windows\Temporary Internet Files\Content.Outlook\IDGJ9XWE\vdpb-Reale-Renditen-Sparbrief-Sparb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thaft\AppData\Local\Microsoft\Windows\Temporary Internet Files\Content.Outlook\IDGJ9XWE\vdpb-Reale-Renditen-Sparbrief-Sparbu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1311" cy="4100130"/>
                    </a:xfrm>
                    <a:prstGeom prst="rect">
                      <a:avLst/>
                    </a:prstGeom>
                    <a:noFill/>
                    <a:ln>
                      <a:noFill/>
                    </a:ln>
                  </pic:spPr>
                </pic:pic>
              </a:graphicData>
            </a:graphic>
          </wp:inline>
        </w:drawing>
      </w:r>
    </w:p>
    <w:p w:rsidR="001F706B" w:rsidRDefault="00E777E4" w:rsidP="00A24E4A">
      <w:pPr>
        <w:pStyle w:val="NurText"/>
        <w:spacing w:before="120" w:line="360" w:lineRule="auto"/>
        <w:ind w:right="1982"/>
        <w:jc w:val="both"/>
        <w:rPr>
          <w:rFonts w:ascii="Times New Roman" w:hAnsi="Times New Roman"/>
          <w:sz w:val="24"/>
        </w:rPr>
      </w:pPr>
      <w:r>
        <w:rPr>
          <w:rFonts w:ascii="Times New Roman" w:hAnsi="Times New Roman"/>
          <w:sz w:val="24"/>
        </w:rPr>
        <w:lastRenderedPageBreak/>
        <w:t xml:space="preserve">Auch mit Bundeswertpapieren ließ sich in den vergangenen Jahrzehnten </w:t>
      </w:r>
      <w:r w:rsidR="00D246CB">
        <w:rPr>
          <w:rFonts w:ascii="Times New Roman" w:hAnsi="Times New Roman"/>
          <w:sz w:val="24"/>
        </w:rPr>
        <w:t xml:space="preserve">eine </w:t>
      </w:r>
      <w:r>
        <w:rPr>
          <w:rFonts w:ascii="Times New Roman" w:hAnsi="Times New Roman"/>
          <w:sz w:val="24"/>
        </w:rPr>
        <w:t>positive reale Rendite erzielen, die im Dur</w:t>
      </w:r>
      <w:r w:rsidR="00FC41C2">
        <w:rPr>
          <w:rFonts w:ascii="Times New Roman" w:hAnsi="Times New Roman"/>
          <w:sz w:val="24"/>
        </w:rPr>
        <w:t>ch</w:t>
      </w:r>
      <w:r>
        <w:rPr>
          <w:rFonts w:ascii="Times New Roman" w:hAnsi="Times New Roman"/>
          <w:sz w:val="24"/>
        </w:rPr>
        <w:t>schnitt immer über d</w:t>
      </w:r>
      <w:r w:rsidR="00946A79">
        <w:rPr>
          <w:rFonts w:ascii="Times New Roman" w:hAnsi="Times New Roman"/>
          <w:sz w:val="24"/>
        </w:rPr>
        <w:t>er</w:t>
      </w:r>
      <w:r>
        <w:rPr>
          <w:rFonts w:ascii="Times New Roman" w:hAnsi="Times New Roman"/>
          <w:sz w:val="24"/>
        </w:rPr>
        <w:t xml:space="preserve"> Verzinsung von Sparbriefen lag. Die Rendite belief sich in den 70er Jahren auf 3,0 Prozent, in den 80er Jahren auf 4,6 Prozent, in den 90er Jahren auf 4,1 Prozent</w:t>
      </w:r>
      <w:r w:rsidR="00D246CB">
        <w:rPr>
          <w:rFonts w:ascii="Times New Roman" w:hAnsi="Times New Roman"/>
          <w:sz w:val="24"/>
        </w:rPr>
        <w:t xml:space="preserve"> und zw</w:t>
      </w:r>
      <w:r w:rsidR="00D246CB">
        <w:rPr>
          <w:rFonts w:ascii="Times New Roman" w:hAnsi="Times New Roman"/>
          <w:sz w:val="24"/>
        </w:rPr>
        <w:t>i</w:t>
      </w:r>
      <w:r w:rsidR="00D246CB">
        <w:rPr>
          <w:rFonts w:ascii="Times New Roman" w:hAnsi="Times New Roman"/>
          <w:sz w:val="24"/>
        </w:rPr>
        <w:t xml:space="preserve">schen 2000 und 2010 auf 2,4 Prozent. In den Jahren 2010 bis 2015 fiel sie ebenfalls auf ein Niveau nur knapp über der Nulllinie (durchschnittlich 0,2 Prozent). </w:t>
      </w:r>
    </w:p>
    <w:p w:rsidR="00197F99" w:rsidRDefault="001F706B" w:rsidP="00A24E4A">
      <w:pPr>
        <w:pStyle w:val="NurText"/>
        <w:spacing w:before="120" w:line="360" w:lineRule="auto"/>
        <w:ind w:right="1982"/>
        <w:jc w:val="both"/>
        <w:rPr>
          <w:rFonts w:ascii="Times New Roman" w:hAnsi="Times New Roman"/>
          <w:sz w:val="24"/>
        </w:rPr>
      </w:pPr>
      <w:r>
        <w:rPr>
          <w:rFonts w:ascii="Times New Roman" w:hAnsi="Times New Roman"/>
          <w:sz w:val="24"/>
        </w:rPr>
        <w:t>Höhere Renditen weisen heute zum Beispiel noch Unternehmensanleihen aus (durchschnittlich 2,2 Prozent im Zeitraum 2010 bis 2015) – jedoch mit entspr</w:t>
      </w:r>
      <w:r>
        <w:rPr>
          <w:rFonts w:ascii="Times New Roman" w:hAnsi="Times New Roman"/>
          <w:sz w:val="24"/>
        </w:rPr>
        <w:t>e</w:t>
      </w:r>
      <w:r>
        <w:rPr>
          <w:rFonts w:ascii="Times New Roman" w:hAnsi="Times New Roman"/>
          <w:sz w:val="24"/>
        </w:rPr>
        <w:t>chend höherem Risiko bis hin zum Totalverlust. „Sicherheitsorientierte Sparer lassen hiervon deshalb verständlich</w:t>
      </w:r>
      <w:r w:rsidR="00FC41C2">
        <w:rPr>
          <w:rFonts w:ascii="Times New Roman" w:hAnsi="Times New Roman"/>
          <w:sz w:val="24"/>
        </w:rPr>
        <w:t>erweise</w:t>
      </w:r>
      <w:r>
        <w:rPr>
          <w:rFonts w:ascii="Times New Roman" w:hAnsi="Times New Roman"/>
          <w:sz w:val="24"/>
        </w:rPr>
        <w:t xml:space="preserve"> die Finger“, so Zehnder. </w:t>
      </w:r>
    </w:p>
    <w:p w:rsidR="00B02FA6" w:rsidRDefault="0025071F" w:rsidP="00013387">
      <w:pPr>
        <w:pStyle w:val="NurText"/>
        <w:spacing w:before="120" w:line="360" w:lineRule="auto"/>
        <w:ind w:right="1982"/>
        <w:jc w:val="both"/>
        <w:rPr>
          <w:rFonts w:ascii="Times New Roman" w:hAnsi="Times New Roman"/>
          <w:sz w:val="24"/>
        </w:rPr>
      </w:pPr>
      <w:r>
        <w:rPr>
          <w:rFonts w:ascii="Times New Roman" w:hAnsi="Times New Roman"/>
          <w:sz w:val="24"/>
        </w:rPr>
        <w:t xml:space="preserve">Beim kurzfristig kündbaren </w:t>
      </w:r>
      <w:r w:rsidR="00013387">
        <w:rPr>
          <w:rFonts w:ascii="Times New Roman" w:hAnsi="Times New Roman"/>
          <w:sz w:val="24"/>
        </w:rPr>
        <w:t>Sparbuch</w:t>
      </w:r>
      <w:r>
        <w:rPr>
          <w:rFonts w:ascii="Times New Roman" w:hAnsi="Times New Roman"/>
          <w:sz w:val="24"/>
        </w:rPr>
        <w:t xml:space="preserve"> habe sich die Entwicklung der realen Renditen in der Tat anders dargestellt. </w:t>
      </w:r>
      <w:r w:rsidR="00013387">
        <w:rPr>
          <w:rFonts w:ascii="Times New Roman" w:hAnsi="Times New Roman"/>
          <w:sz w:val="24"/>
        </w:rPr>
        <w:t>Hier war laut Ifo-Institut die durc</w:t>
      </w:r>
      <w:r w:rsidR="00013387">
        <w:rPr>
          <w:rFonts w:ascii="Times New Roman" w:hAnsi="Times New Roman"/>
          <w:sz w:val="24"/>
        </w:rPr>
        <w:t>h</w:t>
      </w:r>
      <w:r w:rsidR="00013387">
        <w:rPr>
          <w:rFonts w:ascii="Times New Roman" w:hAnsi="Times New Roman"/>
          <w:sz w:val="24"/>
        </w:rPr>
        <w:t>schnittliche reale Verzinsung tatsächlich nur zwischen 1980 und 1989 positiv (+0,4 Prozent). Zwischen 1970 und 1979 erzielten Sparer damit eine real neg</w:t>
      </w:r>
      <w:r w:rsidR="00013387">
        <w:rPr>
          <w:rFonts w:ascii="Times New Roman" w:hAnsi="Times New Roman"/>
          <w:sz w:val="24"/>
        </w:rPr>
        <w:t>a</w:t>
      </w:r>
      <w:r w:rsidR="00013387">
        <w:rPr>
          <w:rFonts w:ascii="Times New Roman" w:hAnsi="Times New Roman"/>
          <w:sz w:val="24"/>
        </w:rPr>
        <w:t xml:space="preserve">tive Rendite von –0,8 Prozent, zwischen 1990 und 1999 von –0,2 Prozent und zwischen 2000 und 2010 von –0,3 Prozent. Zwischen 2010 und 2015 lag die negative Rendite durchschnittlich wieder bei –0,8 Prozent. </w:t>
      </w:r>
    </w:p>
    <w:sectPr w:rsidR="00B02FA6">
      <w:headerReference w:type="default" r:id="rId11"/>
      <w:endnotePr>
        <w:numFmt w:val="chicago"/>
      </w:endnotePr>
      <w:pgSz w:w="11906" w:h="16838" w:code="9"/>
      <w:pgMar w:top="1701"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11" w:rsidRDefault="005E3611">
      <w:r>
        <w:separator/>
      </w:r>
    </w:p>
  </w:endnote>
  <w:endnote w:type="continuationSeparator" w:id="0">
    <w:p w:rsidR="005E3611" w:rsidRDefault="005E3611">
      <w:r>
        <w:continuationSeparator/>
      </w:r>
    </w:p>
  </w:endnote>
  <w:endnote w:id="1">
    <w:p w:rsidR="00B02FA6" w:rsidRDefault="00B02FA6" w:rsidP="00BD0F7E">
      <w:pPr>
        <w:pStyle w:val="Endnotentext"/>
        <w:ind w:right="1982"/>
      </w:pPr>
      <w:r>
        <w:rPr>
          <w:rStyle w:val="Endnotenzeichen"/>
        </w:rPr>
        <w:endnoteRef/>
      </w:r>
      <w:r>
        <w:t xml:space="preserve"> </w:t>
      </w:r>
      <w:r w:rsidRPr="00650EB8">
        <w:t>z. B. Rede des EZB-Präsidenten am 25.01.2016 bei Deuts</w:t>
      </w:r>
      <w:r>
        <w:t>che Börse AG mit Verweis auf Mo</w:t>
      </w:r>
      <w:r w:rsidRPr="00650EB8">
        <w:t>natsbericht der Deutschen Bundesbank vom Oktober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11" w:rsidRDefault="005E3611">
      <w:r>
        <w:separator/>
      </w:r>
    </w:p>
  </w:footnote>
  <w:footnote w:type="continuationSeparator" w:id="0">
    <w:p w:rsidR="005E3611" w:rsidRDefault="005E3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66" w:rsidRDefault="009B5166">
    <w:pPr>
      <w:pStyle w:val="Kopfzeile"/>
      <w:tabs>
        <w:tab w:val="clear" w:pos="4536"/>
        <w:tab w:val="center" w:pos="3969"/>
      </w:tabs>
      <w:jc w:val="left"/>
    </w:pPr>
    <w:r>
      <w:tab/>
    </w:r>
    <w:r>
      <w:rPr>
        <w:rStyle w:val="Seitenzahl"/>
      </w:rPr>
      <w:fldChar w:fldCharType="begin"/>
    </w:r>
    <w:r>
      <w:rPr>
        <w:rStyle w:val="Seitenzahl"/>
      </w:rPr>
      <w:instrText xml:space="preserve"> PAGE </w:instrText>
    </w:r>
    <w:r>
      <w:rPr>
        <w:rStyle w:val="Seitenzahl"/>
      </w:rPr>
      <w:fldChar w:fldCharType="separate"/>
    </w:r>
    <w:r w:rsidR="006917CB">
      <w:rPr>
        <w:rStyle w:val="Seitenzahl"/>
        <w:noProof/>
      </w:rPr>
      <w:t>3</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CCA"/>
    <w:multiLevelType w:val="hybridMultilevel"/>
    <w:tmpl w:val="3A74EDEE"/>
    <w:lvl w:ilvl="0" w:tplc="9010570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39139D"/>
    <w:multiLevelType w:val="singleLevel"/>
    <w:tmpl w:val="987A05B8"/>
    <w:lvl w:ilvl="0">
      <w:start w:val="1"/>
      <w:numFmt w:val="bullet"/>
      <w:lvlText w:val="─"/>
      <w:lvlJc w:val="left"/>
      <w:pPr>
        <w:tabs>
          <w:tab w:val="num" w:pos="360"/>
        </w:tabs>
        <w:ind w:left="360" w:hanging="360"/>
      </w:pPr>
      <w:rPr>
        <w:rFonts w:ascii="Times New Roman" w:hAnsi="Times New Roman" w:hint="default"/>
        <w:sz w:val="16"/>
      </w:rPr>
    </w:lvl>
  </w:abstractNum>
  <w:abstractNum w:abstractNumId="2">
    <w:nsid w:val="154C3D06"/>
    <w:multiLevelType w:val="hybridMultilevel"/>
    <w:tmpl w:val="B742CC96"/>
    <w:lvl w:ilvl="0" w:tplc="C32E5178">
      <w:start w:val="1"/>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1E671FB1"/>
    <w:multiLevelType w:val="hybridMultilevel"/>
    <w:tmpl w:val="799818A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267E1B"/>
    <w:multiLevelType w:val="singleLevel"/>
    <w:tmpl w:val="B1A6BB28"/>
    <w:lvl w:ilvl="0">
      <w:start w:val="3"/>
      <w:numFmt w:val="decimal"/>
      <w:lvlText w:val="%1."/>
      <w:lvlJc w:val="left"/>
      <w:pPr>
        <w:tabs>
          <w:tab w:val="num" w:pos="360"/>
        </w:tabs>
        <w:ind w:left="360" w:hanging="360"/>
      </w:pPr>
    </w:lvl>
  </w:abstractNum>
  <w:abstractNum w:abstractNumId="5">
    <w:nsid w:val="4C495B31"/>
    <w:multiLevelType w:val="singleLevel"/>
    <w:tmpl w:val="5DEA4A2E"/>
    <w:lvl w:ilvl="0">
      <w:numFmt w:val="bullet"/>
      <w:lvlText w:val="-"/>
      <w:lvlJc w:val="left"/>
      <w:pPr>
        <w:tabs>
          <w:tab w:val="num" w:pos="360"/>
        </w:tabs>
        <w:ind w:left="360" w:hanging="360"/>
      </w:pPr>
      <w:rPr>
        <w:rFonts w:hint="default"/>
      </w:rPr>
    </w:lvl>
  </w:abstractNum>
  <w:abstractNum w:abstractNumId="6">
    <w:nsid w:val="5FBB609E"/>
    <w:multiLevelType w:val="hybridMultilevel"/>
    <w:tmpl w:val="647E9C5A"/>
    <w:lvl w:ilvl="0" w:tplc="B706E308">
      <w:start w:val="1"/>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690943E5"/>
    <w:multiLevelType w:val="singleLevel"/>
    <w:tmpl w:val="0407000F"/>
    <w:lvl w:ilvl="0">
      <w:start w:val="1"/>
      <w:numFmt w:val="decimal"/>
      <w:lvlText w:val="%1."/>
      <w:lvlJc w:val="left"/>
      <w:pPr>
        <w:tabs>
          <w:tab w:val="num" w:pos="360"/>
        </w:tabs>
        <w:ind w:left="360" w:hanging="360"/>
      </w:pPr>
    </w:lvl>
  </w:abstractNum>
  <w:num w:numId="1">
    <w:abstractNumId w:val="5"/>
  </w:num>
  <w:num w:numId="2">
    <w:abstractNumId w:val="7"/>
  </w:num>
  <w:num w:numId="3">
    <w:abstractNumId w:val="4"/>
  </w:num>
  <w:num w:numId="4">
    <w:abstractNumId w:val="1"/>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11"/>
    <w:rsid w:val="00002DA4"/>
    <w:rsid w:val="00013387"/>
    <w:rsid w:val="0007589F"/>
    <w:rsid w:val="0011250A"/>
    <w:rsid w:val="00165447"/>
    <w:rsid w:val="00167075"/>
    <w:rsid w:val="00197F99"/>
    <w:rsid w:val="001D6891"/>
    <w:rsid w:val="001F706B"/>
    <w:rsid w:val="00235278"/>
    <w:rsid w:val="0025071F"/>
    <w:rsid w:val="00287DD4"/>
    <w:rsid w:val="002D113B"/>
    <w:rsid w:val="002D5011"/>
    <w:rsid w:val="00300C05"/>
    <w:rsid w:val="003215DC"/>
    <w:rsid w:val="003379BB"/>
    <w:rsid w:val="003B313E"/>
    <w:rsid w:val="00407450"/>
    <w:rsid w:val="00440135"/>
    <w:rsid w:val="00461A0C"/>
    <w:rsid w:val="00463A8C"/>
    <w:rsid w:val="004D71C5"/>
    <w:rsid w:val="004D7B9A"/>
    <w:rsid w:val="004E2824"/>
    <w:rsid w:val="005A3815"/>
    <w:rsid w:val="005E3611"/>
    <w:rsid w:val="005E36FC"/>
    <w:rsid w:val="005E686E"/>
    <w:rsid w:val="00650EB8"/>
    <w:rsid w:val="00652334"/>
    <w:rsid w:val="006578BC"/>
    <w:rsid w:val="00666769"/>
    <w:rsid w:val="006917CB"/>
    <w:rsid w:val="006B3261"/>
    <w:rsid w:val="006C395B"/>
    <w:rsid w:val="006D592E"/>
    <w:rsid w:val="0077303F"/>
    <w:rsid w:val="007B02F1"/>
    <w:rsid w:val="007F4094"/>
    <w:rsid w:val="00841AA0"/>
    <w:rsid w:val="0084404D"/>
    <w:rsid w:val="008F1103"/>
    <w:rsid w:val="0093267B"/>
    <w:rsid w:val="00946A79"/>
    <w:rsid w:val="00993CB8"/>
    <w:rsid w:val="00997EDC"/>
    <w:rsid w:val="009B5166"/>
    <w:rsid w:val="009C4695"/>
    <w:rsid w:val="009F6B1D"/>
    <w:rsid w:val="00A24E4A"/>
    <w:rsid w:val="00A3612C"/>
    <w:rsid w:val="00B02FA6"/>
    <w:rsid w:val="00BB15D4"/>
    <w:rsid w:val="00BC3F28"/>
    <w:rsid w:val="00BD0F7E"/>
    <w:rsid w:val="00BF2ACC"/>
    <w:rsid w:val="00C44EB8"/>
    <w:rsid w:val="00D246CB"/>
    <w:rsid w:val="00D276C6"/>
    <w:rsid w:val="00D57421"/>
    <w:rsid w:val="00D95407"/>
    <w:rsid w:val="00DB1FCB"/>
    <w:rsid w:val="00DE6846"/>
    <w:rsid w:val="00E26557"/>
    <w:rsid w:val="00E777E4"/>
    <w:rsid w:val="00E80002"/>
    <w:rsid w:val="00E8792D"/>
    <w:rsid w:val="00E9350C"/>
    <w:rsid w:val="00ED143E"/>
    <w:rsid w:val="00EE0498"/>
    <w:rsid w:val="00F6158A"/>
    <w:rsid w:val="00F662BA"/>
    <w:rsid w:val="00F74A35"/>
    <w:rsid w:val="00F83A3B"/>
    <w:rsid w:val="00FC41C2"/>
    <w:rsid w:val="00FD1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bsatz">
    <w:name w:val="Absatz"/>
    <w:basedOn w:val="Standard"/>
    <w:pPr>
      <w:spacing w:before="120" w:after="120"/>
    </w:pPr>
    <w:rPr>
      <w:sz w:val="22"/>
    </w:rPr>
  </w:style>
  <w:style w:type="paragraph" w:styleId="NurText">
    <w:name w:val="Plain Text"/>
    <w:basedOn w:val="Standard"/>
    <w:pPr>
      <w:jc w:val="left"/>
    </w:pPr>
    <w:rPr>
      <w:rFonts w:ascii="Courier New" w:hAnsi="Courier New"/>
      <w:sz w:val="20"/>
    </w:rPr>
  </w:style>
  <w:style w:type="paragraph" w:styleId="Textkrper">
    <w:name w:val="Body Text"/>
    <w:basedOn w:val="Standard"/>
    <w:pPr>
      <w:spacing w:line="360" w:lineRule="auto"/>
      <w:ind w:right="167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ind w:right="1699"/>
    </w:pPr>
  </w:style>
  <w:style w:type="paragraph" w:styleId="Sprechblasentext">
    <w:name w:val="Balloon Text"/>
    <w:basedOn w:val="Standard"/>
    <w:semiHidden/>
    <w:rsid w:val="00287DD4"/>
    <w:rPr>
      <w:rFonts w:ascii="Tahoma" w:hAnsi="Tahoma" w:cs="Tahoma"/>
      <w:sz w:val="16"/>
      <w:szCs w:val="16"/>
    </w:rPr>
  </w:style>
  <w:style w:type="paragraph" w:styleId="Funotentext">
    <w:name w:val="footnote text"/>
    <w:basedOn w:val="Standard"/>
    <w:link w:val="FunotentextZchn"/>
    <w:rsid w:val="00650EB8"/>
    <w:rPr>
      <w:sz w:val="20"/>
    </w:rPr>
  </w:style>
  <w:style w:type="character" w:customStyle="1" w:styleId="FunotentextZchn">
    <w:name w:val="Fußnotentext Zchn"/>
    <w:basedOn w:val="Absatz-Standardschriftart"/>
    <w:link w:val="Funotentext"/>
    <w:rsid w:val="00650EB8"/>
  </w:style>
  <w:style w:type="character" w:styleId="Funotenzeichen">
    <w:name w:val="footnote reference"/>
    <w:basedOn w:val="Absatz-Standardschriftart"/>
    <w:rsid w:val="00650EB8"/>
    <w:rPr>
      <w:vertAlign w:val="superscript"/>
    </w:rPr>
  </w:style>
  <w:style w:type="paragraph" w:styleId="Endnotentext">
    <w:name w:val="endnote text"/>
    <w:basedOn w:val="Standard"/>
    <w:link w:val="EndnotentextZchn"/>
    <w:rsid w:val="00650EB8"/>
    <w:rPr>
      <w:sz w:val="20"/>
    </w:rPr>
  </w:style>
  <w:style w:type="character" w:customStyle="1" w:styleId="EndnotentextZchn">
    <w:name w:val="Endnotentext Zchn"/>
    <w:basedOn w:val="Absatz-Standardschriftart"/>
    <w:link w:val="Endnotentext"/>
    <w:rsid w:val="00650EB8"/>
  </w:style>
  <w:style w:type="character" w:styleId="Endnotenzeichen">
    <w:name w:val="endnote reference"/>
    <w:basedOn w:val="Absatz-Standardschriftart"/>
    <w:rsid w:val="00650E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bsatz">
    <w:name w:val="Absatz"/>
    <w:basedOn w:val="Standard"/>
    <w:pPr>
      <w:spacing w:before="120" w:after="120"/>
    </w:pPr>
    <w:rPr>
      <w:sz w:val="22"/>
    </w:rPr>
  </w:style>
  <w:style w:type="paragraph" w:styleId="NurText">
    <w:name w:val="Plain Text"/>
    <w:basedOn w:val="Standard"/>
    <w:pPr>
      <w:jc w:val="left"/>
    </w:pPr>
    <w:rPr>
      <w:rFonts w:ascii="Courier New" w:hAnsi="Courier New"/>
      <w:sz w:val="20"/>
    </w:rPr>
  </w:style>
  <w:style w:type="paragraph" w:styleId="Textkrper">
    <w:name w:val="Body Text"/>
    <w:basedOn w:val="Standard"/>
    <w:pPr>
      <w:spacing w:line="360" w:lineRule="auto"/>
      <w:ind w:right="167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ind w:right="1699"/>
    </w:pPr>
  </w:style>
  <w:style w:type="paragraph" w:styleId="Sprechblasentext">
    <w:name w:val="Balloon Text"/>
    <w:basedOn w:val="Standard"/>
    <w:semiHidden/>
    <w:rsid w:val="00287DD4"/>
    <w:rPr>
      <w:rFonts w:ascii="Tahoma" w:hAnsi="Tahoma" w:cs="Tahoma"/>
      <w:sz w:val="16"/>
      <w:szCs w:val="16"/>
    </w:rPr>
  </w:style>
  <w:style w:type="paragraph" w:styleId="Funotentext">
    <w:name w:val="footnote text"/>
    <w:basedOn w:val="Standard"/>
    <w:link w:val="FunotentextZchn"/>
    <w:rsid w:val="00650EB8"/>
    <w:rPr>
      <w:sz w:val="20"/>
    </w:rPr>
  </w:style>
  <w:style w:type="character" w:customStyle="1" w:styleId="FunotentextZchn">
    <w:name w:val="Fußnotentext Zchn"/>
    <w:basedOn w:val="Absatz-Standardschriftart"/>
    <w:link w:val="Funotentext"/>
    <w:rsid w:val="00650EB8"/>
  </w:style>
  <w:style w:type="character" w:styleId="Funotenzeichen">
    <w:name w:val="footnote reference"/>
    <w:basedOn w:val="Absatz-Standardschriftart"/>
    <w:rsid w:val="00650EB8"/>
    <w:rPr>
      <w:vertAlign w:val="superscript"/>
    </w:rPr>
  </w:style>
  <w:style w:type="paragraph" w:styleId="Endnotentext">
    <w:name w:val="endnote text"/>
    <w:basedOn w:val="Standard"/>
    <w:link w:val="EndnotentextZchn"/>
    <w:rsid w:val="00650EB8"/>
    <w:rPr>
      <w:sz w:val="20"/>
    </w:rPr>
  </w:style>
  <w:style w:type="character" w:customStyle="1" w:styleId="EndnotentextZchn">
    <w:name w:val="Endnotentext Zchn"/>
    <w:basedOn w:val="Absatz-Standardschriftart"/>
    <w:link w:val="Endnotentext"/>
    <w:rsid w:val="00650EB8"/>
  </w:style>
  <w:style w:type="character" w:styleId="Endnotenzeichen">
    <w:name w:val="endnote reference"/>
    <w:basedOn w:val="Absatz-Standardschriftart"/>
    <w:rsid w:val="00650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1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Pressemeldung_Verband_Mail_201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23C5B-2F52-46B0-9084-057DEB33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Pressemeldung_Verband_Mail_2015</Template>
  <TotalTime>0</TotalTime>
  <Pages>3</Pages>
  <Words>537</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VDPB</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Götzinger, Lisa</dc:creator>
  <cp:lastModifiedBy>Götzinger, Lisa</cp:lastModifiedBy>
  <cp:revision>5</cp:revision>
  <cp:lastPrinted>2016-04-21T09:31:00Z</cp:lastPrinted>
  <dcterms:created xsi:type="dcterms:W3CDTF">2016-04-20T13:07:00Z</dcterms:created>
  <dcterms:modified xsi:type="dcterms:W3CDTF">2016-04-25T13:45:00Z</dcterms:modified>
</cp:coreProperties>
</file>